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CA3B" w14:textId="414BA963" w:rsidR="006F7E3A" w:rsidRPr="007E5916" w:rsidRDefault="006F7E3A" w:rsidP="006F7E3A">
      <w:pPr>
        <w:jc w:val="both"/>
        <w:rPr>
          <w:b/>
          <w:bCs/>
          <w:lang w:val="en-US"/>
        </w:rPr>
      </w:pPr>
      <w:r w:rsidRPr="007E5916">
        <w:rPr>
          <w:b/>
          <w:bCs/>
          <w:lang w:val="en-US"/>
        </w:rPr>
        <w:t xml:space="preserve">Resumo Detalhado: </w:t>
      </w:r>
      <w:r w:rsidR="007E5916" w:rsidRPr="007E5916">
        <w:rPr>
          <w:b/>
          <w:bCs/>
          <w:lang w:val="en-US"/>
        </w:rPr>
        <w:t>Blundell and Bond (1998</w:t>
      </w:r>
      <w:r w:rsidR="007E5916" w:rsidRPr="007E5916">
        <w:rPr>
          <w:b/>
          <w:bCs/>
          <w:lang w:val="en-US"/>
        </w:rPr>
        <w:t>-2000</w:t>
      </w:r>
      <w:r w:rsidR="007E5916" w:rsidRPr="007E5916">
        <w:rPr>
          <w:b/>
          <w:bCs/>
          <w:lang w:val="en-US"/>
        </w:rPr>
        <w:t>)</w:t>
      </w:r>
    </w:p>
    <w:p w14:paraId="7EECAA59" w14:textId="77777777" w:rsidR="007E5916" w:rsidRPr="007E5916" w:rsidRDefault="007E5916" w:rsidP="007E5916">
      <w:pPr>
        <w:jc w:val="both"/>
        <w:rPr>
          <w:b/>
          <w:bCs/>
          <w:lang w:val="en-US"/>
        </w:rPr>
      </w:pPr>
      <w:r w:rsidRPr="007E5916">
        <w:rPr>
          <w:b/>
          <w:bCs/>
          <w:lang w:val="en-US"/>
        </w:rPr>
        <w:t>Resumo: Blundell &amp; Bond (2000) — "GMM Estimation with Persistent Panel Data: An Application to Production Functions"</w:t>
      </w:r>
    </w:p>
    <w:p w14:paraId="585001AE" w14:textId="77777777" w:rsidR="007E5916" w:rsidRPr="007E5916" w:rsidRDefault="007E5916" w:rsidP="007E5916">
      <w:pPr>
        <w:jc w:val="both"/>
      </w:pPr>
      <w:r w:rsidRPr="007E5916">
        <w:rPr>
          <w:b/>
          <w:bCs/>
        </w:rPr>
        <w:t>Referência completa:</w:t>
      </w:r>
      <w:r w:rsidRPr="007E5916">
        <w:t xml:space="preserve"> </w:t>
      </w:r>
      <w:proofErr w:type="spellStart"/>
      <w:r w:rsidRPr="007E5916">
        <w:t>Blundell</w:t>
      </w:r>
      <w:proofErr w:type="spellEnd"/>
      <w:r w:rsidRPr="007E5916">
        <w:t xml:space="preserve">, R. e Bond, S. (2000). </w:t>
      </w:r>
      <w:r w:rsidRPr="007E5916">
        <w:rPr>
          <w:lang w:val="en-US"/>
        </w:rPr>
        <w:t xml:space="preserve">GMM Estimation with Persistent Panel Data: An Application to Production Functions. </w:t>
      </w:r>
      <w:proofErr w:type="spellStart"/>
      <w:r w:rsidRPr="007E5916">
        <w:rPr>
          <w:i/>
          <w:iCs/>
        </w:rPr>
        <w:t>Econometric</w:t>
      </w:r>
      <w:proofErr w:type="spellEnd"/>
      <w:r w:rsidRPr="007E5916">
        <w:rPr>
          <w:i/>
          <w:iCs/>
        </w:rPr>
        <w:t xml:space="preserve"> Reviews</w:t>
      </w:r>
      <w:r w:rsidRPr="007E5916">
        <w:t>, 19(3), 321–340.</w:t>
      </w:r>
    </w:p>
    <w:p w14:paraId="105D590A" w14:textId="77777777" w:rsidR="007E5916" w:rsidRPr="007E5916" w:rsidRDefault="007E5916" w:rsidP="007E5916">
      <w:pPr>
        <w:jc w:val="both"/>
      </w:pPr>
      <w:r w:rsidRPr="007E5916">
        <w:rPr>
          <w:b/>
          <w:bCs/>
        </w:rPr>
        <w:t>Nota:</w:t>
      </w:r>
      <w:r w:rsidRPr="007E5916">
        <w:t xml:space="preserve"> O artigo de 2000 na </w:t>
      </w:r>
      <w:proofErr w:type="spellStart"/>
      <w:r w:rsidRPr="007E5916">
        <w:rPr>
          <w:i/>
          <w:iCs/>
        </w:rPr>
        <w:t>Econometric</w:t>
      </w:r>
      <w:proofErr w:type="spellEnd"/>
      <w:r w:rsidRPr="007E5916">
        <w:rPr>
          <w:i/>
          <w:iCs/>
        </w:rPr>
        <w:t xml:space="preserve"> Reviews</w:t>
      </w:r>
      <w:r w:rsidRPr="007E5916">
        <w:t xml:space="preserve"> é a versão aplicada, que estende e aplica os resultados teóricos do artigo seminal publicado no </w:t>
      </w:r>
      <w:proofErr w:type="spellStart"/>
      <w:r w:rsidRPr="007E5916">
        <w:rPr>
          <w:i/>
          <w:iCs/>
        </w:rPr>
        <w:t>Journal</w:t>
      </w:r>
      <w:proofErr w:type="spellEnd"/>
      <w:r w:rsidRPr="007E5916">
        <w:rPr>
          <w:i/>
          <w:iCs/>
        </w:rPr>
        <w:t xml:space="preserve"> </w:t>
      </w:r>
      <w:proofErr w:type="spellStart"/>
      <w:r w:rsidRPr="007E5916">
        <w:rPr>
          <w:i/>
          <w:iCs/>
        </w:rPr>
        <w:t>of</w:t>
      </w:r>
      <w:proofErr w:type="spellEnd"/>
      <w:r w:rsidRPr="007E5916">
        <w:rPr>
          <w:i/>
          <w:iCs/>
        </w:rPr>
        <w:t xml:space="preserve"> </w:t>
      </w:r>
      <w:proofErr w:type="spellStart"/>
      <w:r w:rsidRPr="007E5916">
        <w:rPr>
          <w:i/>
          <w:iCs/>
        </w:rPr>
        <w:t>Econometrics</w:t>
      </w:r>
      <w:proofErr w:type="spellEnd"/>
      <w:r w:rsidRPr="007E5916">
        <w:t xml:space="preserve"> em 1998 (</w:t>
      </w:r>
      <w:proofErr w:type="spellStart"/>
      <w:r w:rsidRPr="007E5916">
        <w:t>Blundell</w:t>
      </w:r>
      <w:proofErr w:type="spellEnd"/>
      <w:r w:rsidRPr="007E5916">
        <w:t xml:space="preserve"> e Bond, 1998). Ambos são comumente citados juntos como "BB" e o projeto inclui a versão de 2000.</w:t>
      </w:r>
    </w:p>
    <w:p w14:paraId="682D8C87" w14:textId="77777777" w:rsidR="007E5916" w:rsidRPr="007E5916" w:rsidRDefault="007E5916" w:rsidP="007E5916">
      <w:pPr>
        <w:jc w:val="both"/>
      </w:pPr>
      <w:r w:rsidRPr="007E5916">
        <w:pict w14:anchorId="537784DE">
          <v:rect id="_x0000_i1089" style="width:0;height:1.5pt" o:hralign="center" o:hrstd="t" o:hr="t" fillcolor="#a0a0a0" stroked="f"/>
        </w:pict>
      </w:r>
    </w:p>
    <w:p w14:paraId="36750437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1. Motivação e problema central</w:t>
      </w:r>
    </w:p>
    <w:p w14:paraId="422F7E68" w14:textId="77777777" w:rsidR="007E5916" w:rsidRPr="007E5916" w:rsidRDefault="007E5916" w:rsidP="007E5916">
      <w:pPr>
        <w:jc w:val="both"/>
      </w:pPr>
      <w:r w:rsidRPr="007E5916">
        <w:t>O ponto de partida é um diagnóstico empírico bem conhecido: ao estimar funções de produção Cobb-Douglas com dados de painel de firmas, o estimador GMM em primeiras diferenças (o estimador de Arellano e Bond, 1991, doravante AB-DIF) tende a produzir resultados insatisfatórios. Em particular, gera coeficientes de capital muito baixos e frequentemente insignificantes, e rejeita retornos constantes de escala, contrariando evidências de contabilidade de fatores.</w:t>
      </w:r>
    </w:p>
    <w:p w14:paraId="3311401D" w14:textId="77777777" w:rsidR="007E5916" w:rsidRPr="007E5916" w:rsidRDefault="007E5916" w:rsidP="007E5916">
      <w:pPr>
        <w:jc w:val="both"/>
      </w:pPr>
      <w:r w:rsidRPr="007E5916">
        <w:t xml:space="preserve">O argumento central do artigo é que esse mau desempenho não é um problema aleatório: ele é sistemático e decorre de um problema de </w:t>
      </w:r>
      <w:r w:rsidRPr="007E5916">
        <w:rPr>
          <w:b/>
          <w:bCs/>
        </w:rPr>
        <w:t>instrumentos fracos</w:t>
      </w:r>
      <w:r w:rsidRPr="007E5916">
        <w:t xml:space="preserve"> (</w:t>
      </w:r>
      <w:proofErr w:type="spellStart"/>
      <w:r w:rsidRPr="007E5916">
        <w:rPr>
          <w:i/>
          <w:iCs/>
        </w:rPr>
        <w:t>weak</w:t>
      </w:r>
      <w:proofErr w:type="spellEnd"/>
      <w:r w:rsidRPr="007E5916">
        <w:rPr>
          <w:i/>
          <w:iCs/>
        </w:rPr>
        <w:t xml:space="preserve"> </w:t>
      </w:r>
      <w:proofErr w:type="spellStart"/>
      <w:r w:rsidRPr="007E5916">
        <w:rPr>
          <w:i/>
          <w:iCs/>
        </w:rPr>
        <w:t>instruments</w:t>
      </w:r>
      <w:proofErr w:type="spellEnd"/>
      <w:r w:rsidRPr="007E5916">
        <w:t>) no estimador AB-DIF, que se agrava quando as séries são persistentes (próximas de raiz unitária).</w:t>
      </w:r>
    </w:p>
    <w:p w14:paraId="37D55454" w14:textId="77777777" w:rsidR="007E5916" w:rsidRPr="007E5916" w:rsidRDefault="007E5916" w:rsidP="007E5916">
      <w:pPr>
        <w:jc w:val="both"/>
      </w:pPr>
      <w:r w:rsidRPr="007E5916">
        <w:pict w14:anchorId="2B3115DC">
          <v:rect id="_x0000_i1090" style="width:0;height:1.5pt" o:hralign="center" o:hrstd="t" o:hr="t" fillcolor="#a0a0a0" stroked="f"/>
        </w:pict>
      </w:r>
    </w:p>
    <w:p w14:paraId="0E10F269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2. O modelo</w:t>
      </w:r>
    </w:p>
    <w:p w14:paraId="3B305C18" w14:textId="77777777" w:rsidR="007E5916" w:rsidRPr="007E5916" w:rsidRDefault="007E5916" w:rsidP="007E5916">
      <w:pPr>
        <w:jc w:val="both"/>
      </w:pPr>
      <w:r w:rsidRPr="007E5916">
        <w:t>O artigo estima uma função de produção Cobb-Douglas com efeitos fixos:</w:t>
      </w:r>
    </w:p>
    <w:p w14:paraId="4949D62A" w14:textId="2F4C7BFA" w:rsidR="007E5916" w:rsidRPr="007E5916" w:rsidRDefault="007E5916" w:rsidP="007E5916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30A9F41B" w14:textId="134B2B69" w:rsidR="007E5916" w:rsidRPr="007E5916" w:rsidRDefault="007E5916" w:rsidP="007E5916">
      <w:pPr>
        <w:jc w:val="both"/>
      </w:pPr>
      <w:r w:rsidRPr="007E5916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é log de vendas,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é log de emprego,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é log do estoque de capital,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E5916">
        <w:t xml:space="preserve">é um efeito temporal comum,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5916">
        <w:t xml:space="preserve">é o efeito fixo de firma (não observado),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é um choque de produtividade possivelmente autorregressivo: </w:t>
      </w:r>
    </w:p>
    <w:p w14:paraId="03068A67" w14:textId="4C0AE6B7" w:rsidR="007E5916" w:rsidRPr="007E5916" w:rsidRDefault="007E5916" w:rsidP="007E5916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2CF835AF" w14:textId="6FAADE5C" w:rsidR="007E5916" w:rsidRPr="007E5916" w:rsidRDefault="007E5916" w:rsidP="007E5916">
      <w:pPr>
        <w:jc w:val="both"/>
      </w:pPr>
      <w:r w:rsidRPr="007E5916">
        <w:lastRenderedPageBreak/>
        <w:t xml:space="preserve">Isso gera erros com componente </w:t>
      </w:r>
      <w:proofErr w:type="gramStart"/>
      <w:r w:rsidRPr="007E5916">
        <w:t>MA(</w:t>
      </w:r>
      <w:proofErr w:type="gramEnd"/>
      <w:r w:rsidRPr="007E5916">
        <w:t xml:space="preserve">0) se não há erros de medição, ou </w:t>
      </w:r>
      <w:proofErr w:type="gramStart"/>
      <w:r w:rsidRPr="007E5916">
        <w:t>MA(</w:t>
      </w:r>
      <w:proofErr w:type="gramEnd"/>
      <w:r w:rsidRPr="007E5916">
        <w:t xml:space="preserve">1) se há. Retornos constantes de escala implicam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7E5916">
        <w:t xml:space="preserve">, mas isso não é imposto a priori. </w:t>
      </w:r>
    </w:p>
    <w:p w14:paraId="4930511E" w14:textId="77777777" w:rsidR="007E5916" w:rsidRPr="007E5916" w:rsidRDefault="007E5916" w:rsidP="007E5916">
      <w:pPr>
        <w:jc w:val="both"/>
      </w:pPr>
      <w:r w:rsidRPr="007E5916">
        <w:pict w14:anchorId="15207144">
          <v:rect id="_x0000_i1091" style="width:0;height:1.5pt" o:hralign="center" o:hrstd="t" o:hr="t" fillcolor="#a0a0a0" stroked="f"/>
        </w:pict>
      </w:r>
    </w:p>
    <w:p w14:paraId="5DA4D4DF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3. O estimador AB-DIF e o problema de instrumentos fracos</w:t>
      </w:r>
    </w:p>
    <w:p w14:paraId="17875B36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3.1 A lógica do AB-DIF</w:t>
      </w:r>
    </w:p>
    <w:p w14:paraId="3EC2E52F" w14:textId="0FAEF3FD" w:rsidR="007E5916" w:rsidRPr="007E5916" w:rsidRDefault="007E5916" w:rsidP="007E5916">
      <w:pPr>
        <w:jc w:val="both"/>
      </w:pPr>
      <w:r w:rsidRPr="007E5916">
        <w:t xml:space="preserve">O estimador de Arellano-Bond (1991) elimina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5916">
        <w:t xml:space="preserve">tomando primeiras diferenças: </w:t>
      </w:r>
    </w:p>
    <w:p w14:paraId="55DF0940" w14:textId="4475E3B6" w:rsidR="007E5916" w:rsidRPr="007E5916" w:rsidRDefault="007E5916" w:rsidP="007E5916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6872B989" w14:textId="52322851" w:rsidR="007E5916" w:rsidRPr="007E5916" w:rsidRDefault="007E5916" w:rsidP="007E5916">
      <w:pPr>
        <w:jc w:val="both"/>
      </w:pPr>
      <w:r w:rsidRPr="007E5916">
        <w:t xml:space="preserve">Como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são correlacionados com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(endogeneidade), usam-se como instrumentos os </w:t>
      </w:r>
      <w:r w:rsidRPr="007E5916">
        <w:rPr>
          <w:b/>
          <w:bCs/>
        </w:rPr>
        <w:t>níveis defasados</w:t>
      </w:r>
      <w:r w:rsidRPr="007E5916">
        <w:t xml:space="preserve"> dessas variáveis: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it-2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it-3</m:t>
            </m:r>
          </m:sub>
        </m:sSub>
        <m:r>
          <w:rPr>
            <w:rFonts w:ascii="Cambria Math" w:hAnsi="Cambria Math"/>
          </w:rPr>
          <m:t>,…</m:t>
        </m:r>
      </m:oMath>
      <w:r w:rsidRPr="007E5916">
        <w:t xml:space="preserve">e análogos para capital, sob as condições de momento: </w:t>
      </w:r>
    </w:p>
    <w:p w14:paraId="14449C15" w14:textId="1A201C7F" w:rsidR="007E5916" w:rsidRPr="007E5916" w:rsidRDefault="007E5916" w:rsidP="007E5916">
      <w:pPr>
        <w:jc w:val="both"/>
      </w:pPr>
      <m:oMathPara>
        <m:oMath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it-s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]=0</m:t>
          </m:r>
          <m:r>
            <m:rPr>
              <m:nor/>
            </m:rPr>
            <m:t xml:space="preserve">para </m:t>
          </m:r>
          <m:r>
            <w:rPr>
              <w:rFonts w:ascii="Cambria Math" w:hAnsi="Cambria Math"/>
            </w:rPr>
            <m:t>s≥2</m:t>
          </m:r>
          <m:r>
            <w:rPr>
              <w:i/>
            </w:rPr>
            <w:br/>
          </m:r>
        </m:oMath>
      </m:oMathPara>
    </w:p>
    <w:p w14:paraId="272486E8" w14:textId="77777777" w:rsidR="007E5916" w:rsidRPr="007E5916" w:rsidRDefault="007E5916" w:rsidP="007E5916">
      <w:pPr>
        <w:jc w:val="both"/>
      </w:pPr>
      <w:r w:rsidRPr="007E5916">
        <w:t>Trata-se de um estimador GMM, eficiente dado o conjunto de instrumentos disponíveis.</w:t>
      </w:r>
    </w:p>
    <w:p w14:paraId="3F582B61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3.2 Por que os instrumentos ficam fracos</w:t>
      </w:r>
    </w:p>
    <w:p w14:paraId="3484EB73" w14:textId="08253234" w:rsidR="007E5916" w:rsidRPr="007E5916" w:rsidRDefault="007E5916" w:rsidP="007E5916">
      <w:pPr>
        <w:jc w:val="both"/>
      </w:pPr>
      <w:r w:rsidRPr="007E5916">
        <w:t xml:space="preserve">O problema surge quando as séries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são </w:t>
      </w:r>
      <w:r w:rsidRPr="007E5916">
        <w:rPr>
          <w:b/>
          <w:bCs/>
        </w:rPr>
        <w:t>altamente persistentes</w:t>
      </w:r>
      <w:r w:rsidRPr="007E5916">
        <w:t xml:space="preserve">. Para ver isso de forma intuitiva, considere o modelo </w:t>
      </w:r>
      <w:proofErr w:type="gramStart"/>
      <w:r w:rsidRPr="007E5916">
        <w:t>AR(</w:t>
      </w:r>
      <w:proofErr w:type="gramEnd"/>
      <w:r w:rsidRPr="007E5916">
        <w:t xml:space="preserve">1) simples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. </w:t>
      </w:r>
    </w:p>
    <w:p w14:paraId="6A4971FE" w14:textId="28A31181" w:rsidR="007E5916" w:rsidRPr="007E5916" w:rsidRDefault="007E5916" w:rsidP="007E5916">
      <w:pPr>
        <w:jc w:val="both"/>
      </w:pPr>
      <w:r w:rsidRPr="007E5916">
        <w:t xml:space="preserve">Ao tomar primeiras diferenças, o instrumento para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it-1</m:t>
            </m:r>
          </m:sub>
        </m:sSub>
      </m:oMath>
      <w:r w:rsidRPr="007E5916">
        <w:t xml:space="preserve">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it-2</m:t>
            </m:r>
          </m:sub>
        </m:sSub>
      </m:oMath>
      <w:r w:rsidRPr="007E5916">
        <w:t xml:space="preserve">. A forma reduzida da primeira etapa é: </w:t>
      </w:r>
    </w:p>
    <w:p w14:paraId="1EA70799" w14:textId="62872556" w:rsidR="007E5916" w:rsidRPr="007E5916" w:rsidRDefault="007E5916" w:rsidP="007E5916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it-1</m:t>
              </m:r>
            </m:sub>
          </m:sSub>
          <m:r>
            <w:rPr>
              <w:rFonts w:ascii="Cambria Math" w:hAnsi="Cambria Math"/>
            </w:rPr>
            <m:t>=π⋅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it-2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erro</m:t>
          </m:r>
          <m:r>
            <w:br/>
          </m:r>
        </m:oMath>
      </m:oMathPara>
    </w:p>
    <w:p w14:paraId="08DB48C2" w14:textId="7E30C801" w:rsidR="007E5916" w:rsidRPr="007E5916" w:rsidRDefault="007E5916" w:rsidP="007E5916">
      <w:pPr>
        <w:jc w:val="both"/>
      </w:pPr>
      <w:r w:rsidRPr="007E5916">
        <w:t xml:space="preserve">O parâmetro </w:t>
      </w:r>
      <m:oMath>
        <m:r>
          <w:rPr>
            <w:rFonts w:ascii="Cambria Math" w:hAnsi="Cambria Math"/>
          </w:rPr>
          <m:t>π</m:t>
        </m:r>
      </m:oMath>
      <w:r w:rsidRPr="007E5916">
        <w:t xml:space="preserve">da forma reduzida converge para zero quando </w:t>
      </w:r>
      <m:oMath>
        <m:r>
          <w:rPr>
            <w:rFonts w:ascii="Cambria Math" w:hAnsi="Cambria Math"/>
          </w:rPr>
          <m:t>α→1</m:t>
        </m:r>
      </m:oMath>
      <w:r w:rsidRPr="007E5916">
        <w:t xml:space="preserve">(série próxima de raiz unitária) </w:t>
      </w:r>
      <w:r w:rsidRPr="007E5916">
        <w:rPr>
          <w:b/>
          <w:bCs/>
        </w:rPr>
        <w:t>ou</w:t>
      </w:r>
      <w:r w:rsidRPr="007E5916">
        <w:t xml:space="preserve"> quando a variância do efeito fixo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η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7E5916">
        <w:t xml:space="preserve">é grande em relação à variância do choque transitório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7E5916">
        <w:t xml:space="preserve">. Matematicamente, o parâmetro de concentração (que governa a qualidade do instrumento) é: </w:t>
      </w:r>
    </w:p>
    <w:p w14:paraId="5F82FB96" w14:textId="0A4C1E17" w:rsidR="007E5916" w:rsidRPr="007E5916" w:rsidRDefault="007E5916" w:rsidP="007E5916">
      <w:pPr>
        <w:jc w:val="both"/>
      </w:pPr>
      <m:oMathPara>
        <m:oMath>
          <m:r>
            <w:rPr>
              <w:rFonts w:ascii="Cambria Math" w:hAnsi="Cambria Math"/>
            </w:rPr>
            <m:t>τ∝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η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→0</m:t>
          </m:r>
          <m:r>
            <m:rPr>
              <m:nor/>
            </m:rPr>
            <m:t xml:space="preserve">quando </m:t>
          </m:r>
          <m:r>
            <w:rPr>
              <w:rFonts w:ascii="Cambria Math" w:hAnsi="Cambria Math"/>
            </w:rPr>
            <m:t>α→1</m:t>
          </m:r>
          <m:r>
            <m:rPr>
              <m:nor/>
            </m:rPr>
            <m:t xml:space="preserve"> ou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η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/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br/>
          </m:r>
        </m:oMath>
      </m:oMathPara>
    </w:p>
    <w:p w14:paraId="3EFAA3C7" w14:textId="274EDAD7" w:rsidR="007E5916" w:rsidRPr="007E5916" w:rsidRDefault="007E5916" w:rsidP="007E5916">
      <w:pPr>
        <w:jc w:val="both"/>
      </w:pPr>
      <w:r w:rsidRPr="007E5916">
        <w:t>Com instrumentos fracos, o estimador IV (</w:t>
      </w:r>
      <w:proofErr w:type="gramStart"/>
      <w:r w:rsidRPr="007E5916">
        <w:t>e portanto</w:t>
      </w:r>
      <w:proofErr w:type="gramEnd"/>
      <w:r w:rsidRPr="007E5916">
        <w:t xml:space="preserve"> o GMM em diferenças) tem </w:t>
      </w:r>
      <w:r w:rsidRPr="007E5916">
        <w:rPr>
          <w:b/>
          <w:bCs/>
        </w:rPr>
        <w:t xml:space="preserve">viés em amostras finitas na direção do estimador </w:t>
      </w:r>
      <w:proofErr w:type="spellStart"/>
      <w:r w:rsidRPr="007E5916">
        <w:rPr>
          <w:b/>
          <w:bCs/>
        </w:rPr>
        <w:t>within-groups</w:t>
      </w:r>
      <w:proofErr w:type="spellEnd"/>
      <w:r w:rsidRPr="007E5916">
        <w:t xml:space="preserve">. Isso é análogo ao resultado clássico de que IV com instrumento fraco converge para OLS. No </w:t>
      </w:r>
      <w:r w:rsidRPr="007E5916">
        <w:lastRenderedPageBreak/>
        <w:t>contexto de painel, OLS em desvios do grupo (</w:t>
      </w:r>
      <w:proofErr w:type="spellStart"/>
      <w:r w:rsidRPr="007E5916">
        <w:t>within</w:t>
      </w:r>
      <w:proofErr w:type="spellEnd"/>
      <w:r w:rsidRPr="007E5916">
        <w:t xml:space="preserve">) é justamente o estimador tendencioso abaixo de </w:t>
      </w:r>
      <m:oMath>
        <m:r>
          <w:rPr>
            <w:rFonts w:ascii="Cambria Math" w:hAnsi="Cambria Math"/>
          </w:rPr>
          <m:t>α</m:t>
        </m:r>
      </m:oMath>
      <w:r w:rsidRPr="007E5916">
        <w:t xml:space="preserve">quando </w:t>
      </w:r>
      <m:oMath>
        <m:r>
          <w:rPr>
            <w:rFonts w:ascii="Cambria Math" w:hAnsi="Cambria Math"/>
          </w:rPr>
          <m:t>T</m:t>
        </m:r>
      </m:oMath>
      <w:r w:rsidRPr="007E5916">
        <w:t xml:space="preserve">é pequeno. </w:t>
      </w:r>
    </w:p>
    <w:p w14:paraId="3069CD8E" w14:textId="6C4F4187" w:rsidR="007E5916" w:rsidRPr="007E5916" w:rsidRDefault="007E5916" w:rsidP="007E5916">
      <w:pPr>
        <w:jc w:val="both"/>
      </w:pPr>
      <w:r w:rsidRPr="007E5916">
        <w:t xml:space="preserve">As simulações Monte Carlo do artigo confirmam isso dramaticamente: com </w:t>
      </w:r>
      <m:oMath>
        <m:r>
          <w:rPr>
            <w:rFonts w:ascii="Cambria Math" w:hAnsi="Cambria Math"/>
          </w:rPr>
          <m:t>α=0.9</m:t>
        </m:r>
      </m:oMath>
      <w:r w:rsidRPr="007E5916">
        <w:t xml:space="preserve">e </w:t>
      </w:r>
      <m:oMath>
        <m:r>
          <w:rPr>
            <w:rFonts w:ascii="Cambria Math" w:hAnsi="Cambria Math"/>
          </w:rPr>
          <m:t>N=100</m:t>
        </m:r>
      </m:oMath>
      <w:r w:rsidRPr="007E5916">
        <w:t xml:space="preserve">, o DIF-GMM apresenta viés enorme para baixo, enquanto com </w:t>
      </w:r>
      <m:oMath>
        <m:r>
          <w:rPr>
            <w:rFonts w:ascii="Cambria Math" w:hAnsi="Cambria Math"/>
          </w:rPr>
          <m:t>α=0.5</m:t>
        </m:r>
      </m:oMath>
      <w:r w:rsidRPr="007E5916">
        <w:t xml:space="preserve">o desempenho é razoável. </w:t>
      </w:r>
    </w:p>
    <w:p w14:paraId="65FF8644" w14:textId="77777777" w:rsidR="007E5916" w:rsidRPr="007E5916" w:rsidRDefault="007E5916" w:rsidP="007E5916">
      <w:pPr>
        <w:jc w:val="both"/>
      </w:pPr>
      <w:r w:rsidRPr="007E5916">
        <w:pict w14:anchorId="18A5F71A">
          <v:rect id="_x0000_i1092" style="width:0;height:1.5pt" o:hralign="center" o:hrstd="t" o:hr="t" fillcolor="#a0a0a0" stroked="f"/>
        </w:pict>
      </w:r>
    </w:p>
    <w:p w14:paraId="16CEDC10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4. A solução: o estimador System GMM (SYS-GMM)</w:t>
      </w:r>
    </w:p>
    <w:p w14:paraId="18DD00DF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4.1 A ideia central</w:t>
      </w:r>
    </w:p>
    <w:p w14:paraId="7177212F" w14:textId="77777777" w:rsidR="007E5916" w:rsidRPr="007E5916" w:rsidRDefault="007E5916" w:rsidP="007E5916">
      <w:pPr>
        <w:jc w:val="both"/>
      </w:pPr>
      <w:r w:rsidRPr="007E5916">
        <w:t xml:space="preserve">Se o DIF-GMM usa níveis defasados como instrumentos para equações em diferenças, a ideia de </w:t>
      </w:r>
      <w:proofErr w:type="spellStart"/>
      <w:r w:rsidRPr="007E5916">
        <w:t>Blundell</w:t>
      </w:r>
      <w:proofErr w:type="spellEnd"/>
      <w:r w:rsidRPr="007E5916">
        <w:t xml:space="preserve">-Bond é adicionar um segundo conjunto de equações, agora </w:t>
      </w:r>
      <w:r w:rsidRPr="007E5916">
        <w:rPr>
          <w:b/>
          <w:bCs/>
        </w:rPr>
        <w:t>em níveis</w:t>
      </w:r>
      <w:r w:rsidRPr="007E5916">
        <w:t xml:space="preserve">, e usar como instrumentos para essas equações as </w:t>
      </w:r>
      <w:r w:rsidRPr="007E5916">
        <w:rPr>
          <w:b/>
          <w:bCs/>
        </w:rPr>
        <w:t>primeiras diferenças defasadas</w:t>
      </w:r>
      <w:r w:rsidRPr="007E5916">
        <w:t xml:space="preserve"> das variáveis. Isso recupera a informação perdida quando os níveis são instrumentos fracos para as diferenças.</w:t>
      </w:r>
    </w:p>
    <w:p w14:paraId="0240EE6E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4.2 As condições de momento adicionais</w:t>
      </w:r>
    </w:p>
    <w:p w14:paraId="1007AA3C" w14:textId="77777777" w:rsidR="007E5916" w:rsidRPr="007E5916" w:rsidRDefault="007E5916" w:rsidP="007E5916">
      <w:pPr>
        <w:jc w:val="both"/>
      </w:pPr>
      <w:r w:rsidRPr="007E5916">
        <w:t>Para as equações em níveis, as condições de momento são:</w:t>
      </w:r>
    </w:p>
    <w:p w14:paraId="111A8317" w14:textId="10B290B1" w:rsidR="007E5916" w:rsidRPr="007E5916" w:rsidRDefault="007E5916" w:rsidP="007E5916">
      <w:pPr>
        <w:jc w:val="both"/>
      </w:pPr>
      <m:oMathPara>
        <m:oMath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it-s</m:t>
              </m:r>
            </m:sub>
          </m:sSub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)]=0</m:t>
          </m:r>
          <m:r>
            <m:rPr>
              <m:nor/>
            </m:rPr>
            <m:t xml:space="preserve">para </m:t>
          </m:r>
          <m:r>
            <w:rPr>
              <w:rFonts w:ascii="Cambria Math" w:hAnsi="Cambria Math"/>
            </w:rPr>
            <m:t>s=1</m:t>
          </m:r>
          <m:r>
            <m:rPr>
              <m:nor/>
            </m:rPr>
            <m:t xml:space="preserve"> (se erro MA(0)) ou </m:t>
          </m:r>
          <m:r>
            <w:rPr>
              <w:rFonts w:ascii="Cambria Math" w:hAnsi="Cambria Math"/>
            </w:rPr>
            <m:t>s=2</m:t>
          </m:r>
          <m:r>
            <m:rPr>
              <m:nor/>
            </m:rPr>
            <m:t xml:space="preserve"> (se MA(1))</m:t>
          </m:r>
          <m:r>
            <w:br/>
          </m:r>
        </m:oMath>
      </m:oMathPara>
    </w:p>
    <w:p w14:paraId="4123B1D1" w14:textId="77777777" w:rsidR="007E5916" w:rsidRPr="007E5916" w:rsidRDefault="007E5916" w:rsidP="007E5916">
      <w:pPr>
        <w:jc w:val="both"/>
      </w:pPr>
      <w:r w:rsidRPr="007E5916">
        <w:t xml:space="preserve">Ou seja, as primeiras diferenças defasadas das variáveis são instrumentos válidos para as equações em níveis, </w:t>
      </w:r>
      <w:r w:rsidRPr="007E5916">
        <w:rPr>
          <w:b/>
          <w:bCs/>
        </w:rPr>
        <w:t>desde que</w:t>
      </w:r>
      <w:r w:rsidRPr="007E5916">
        <w:t xml:space="preserve"> as condições iniciais satisfaçam:</w:t>
      </w:r>
    </w:p>
    <w:p w14:paraId="11697C11" w14:textId="75B22DB7" w:rsidR="007E5916" w:rsidRPr="007E5916" w:rsidRDefault="007E5916" w:rsidP="007E5916">
      <w:pPr>
        <w:jc w:val="both"/>
      </w:pPr>
      <m:oMathPara>
        <m:oMath>
          <m:r>
            <w:rPr>
              <w:rFonts w:ascii="Cambria Math" w:hAnsi="Cambria Math"/>
            </w:rPr>
            <m:t>E[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]=0</m:t>
          </m:r>
          <m:r>
            <w:rPr>
              <w:i/>
            </w:rPr>
            <w:br/>
          </m:r>
        </m:oMath>
      </m:oMathPara>
    </w:p>
    <w:p w14:paraId="16C94330" w14:textId="16AE0828" w:rsidR="007E5916" w:rsidRPr="007E5916" w:rsidRDefault="007E5916" w:rsidP="007E5916">
      <w:pPr>
        <w:jc w:val="both"/>
      </w:pPr>
      <w:r w:rsidRPr="007E5916">
        <w:t xml:space="preserve">Esta condição é satisfeita se o processo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7E5916">
        <w:t xml:space="preserve">é </w:t>
      </w:r>
      <w:r w:rsidRPr="007E5916">
        <w:rPr>
          <w:b/>
          <w:bCs/>
        </w:rPr>
        <w:t>covariância-estacionário</w:t>
      </w:r>
      <w:r w:rsidRPr="007E5916">
        <w:t xml:space="preserve">: o efeito fixo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5916">
        <w:t xml:space="preserve">não deve ser correlacionado com as mudanças na variável ao longo do tempo. Mais precisamente, a condição implica que a relação entre o nível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5916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5916">
        <w:t xml:space="preserve">seja estável, ou seja, que o processo tenha se iniciado há tempo suficiente para que as condições iniciais sejam informativas. </w:t>
      </w:r>
    </w:p>
    <w:p w14:paraId="422345F4" w14:textId="77777777" w:rsidR="007E5916" w:rsidRPr="007E5916" w:rsidRDefault="007E5916" w:rsidP="007E5916">
      <w:pPr>
        <w:jc w:val="both"/>
      </w:pPr>
      <w:r w:rsidRPr="007E5916">
        <w:t xml:space="preserve">Essa é uma restrição razoável em muitos contextos empíricos (firmas em equilíbrio de longo prazo, por exemplo), e é </w:t>
      </w:r>
      <w:r w:rsidRPr="007E5916">
        <w:rPr>
          <w:b/>
          <w:bCs/>
        </w:rPr>
        <w:t>testável</w:t>
      </w:r>
      <w:r w:rsidRPr="007E5916">
        <w:t>, como discutido abaixo.</w:t>
      </w:r>
    </w:p>
    <w:p w14:paraId="5E3F8059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4.3 O estimador SYS-GMM formalmente</w:t>
      </w:r>
    </w:p>
    <w:p w14:paraId="452BC6F3" w14:textId="77777777" w:rsidR="007E5916" w:rsidRPr="007E5916" w:rsidRDefault="007E5916" w:rsidP="007E5916">
      <w:pPr>
        <w:jc w:val="both"/>
      </w:pPr>
      <w:r w:rsidRPr="007E5916">
        <w:t>O estimador SYS-GMM combina:</w:t>
      </w:r>
    </w:p>
    <w:p w14:paraId="3B7C3257" w14:textId="77777777" w:rsidR="007E5916" w:rsidRPr="007E5916" w:rsidRDefault="007E5916" w:rsidP="007E5916">
      <w:pPr>
        <w:numPr>
          <w:ilvl w:val="0"/>
          <w:numId w:val="18"/>
        </w:numPr>
        <w:jc w:val="both"/>
      </w:pPr>
      <w:r w:rsidRPr="007E5916">
        <w:rPr>
          <w:b/>
          <w:bCs/>
        </w:rPr>
        <w:t>Equações em primeiras diferenças</w:t>
      </w:r>
      <w:r w:rsidRPr="007E5916">
        <w:t>, instrumentadas com níveis defasados (como no AB-DIF);</w:t>
      </w:r>
    </w:p>
    <w:p w14:paraId="26A41A2F" w14:textId="77777777" w:rsidR="007E5916" w:rsidRPr="007E5916" w:rsidRDefault="007E5916" w:rsidP="007E5916">
      <w:pPr>
        <w:numPr>
          <w:ilvl w:val="0"/>
          <w:numId w:val="18"/>
        </w:numPr>
        <w:jc w:val="both"/>
      </w:pPr>
      <w:r w:rsidRPr="007E5916">
        <w:rPr>
          <w:b/>
          <w:bCs/>
        </w:rPr>
        <w:lastRenderedPageBreak/>
        <w:t>Equações em níveis</w:t>
      </w:r>
      <w:r w:rsidRPr="007E5916">
        <w:t>, instrumentadas com primeiras diferenças defasadas (inovação de BB).</w:t>
      </w:r>
    </w:p>
    <w:p w14:paraId="008D4A1B" w14:textId="77777777" w:rsidR="007E5916" w:rsidRPr="007E5916" w:rsidRDefault="007E5916" w:rsidP="007E5916">
      <w:pPr>
        <w:jc w:val="both"/>
      </w:pPr>
      <w:r w:rsidRPr="007E5916">
        <w:t>O sistema é estimado via GMM linear, empilhando ambos os conjuntos de equações. A matriz de instrumentos é bloco-diagonal, separando os dois blocos de condições de momento. O estimador de dois passos (</w:t>
      </w:r>
      <w:proofErr w:type="spellStart"/>
      <w:r w:rsidRPr="007E5916">
        <w:t>two</w:t>
      </w:r>
      <w:proofErr w:type="spellEnd"/>
      <w:r w:rsidRPr="007E5916">
        <w:t>-step) usa um estimador consistente da matriz de variância dos momentos para obter eficiência assintótica.</w:t>
      </w:r>
    </w:p>
    <w:p w14:paraId="476096CB" w14:textId="77777777" w:rsidR="007E5916" w:rsidRPr="007E5916" w:rsidRDefault="007E5916" w:rsidP="007E5916">
      <w:pPr>
        <w:jc w:val="both"/>
      </w:pPr>
      <w:r w:rsidRPr="007E5916">
        <w:pict w14:anchorId="3205592B">
          <v:rect id="_x0000_i1093" style="width:0;height:1.5pt" o:hralign="center" o:hrstd="t" o:hr="t" fillcolor="#a0a0a0" stroked="f"/>
        </w:pict>
      </w:r>
    </w:p>
    <w:p w14:paraId="5F85D14C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5. Testes de validade das restrições adicionais</w:t>
      </w:r>
    </w:p>
    <w:p w14:paraId="2BBB36F7" w14:textId="77777777" w:rsidR="007E5916" w:rsidRPr="007E5916" w:rsidRDefault="007E5916" w:rsidP="007E5916">
      <w:pPr>
        <w:jc w:val="both"/>
      </w:pPr>
      <w:r w:rsidRPr="007E5916">
        <w:t xml:space="preserve">Como as condições de momento dos níveis são restrições </w:t>
      </w:r>
      <w:proofErr w:type="spellStart"/>
      <w:r w:rsidRPr="007E5916">
        <w:t>sobreidentificadoras</w:t>
      </w:r>
      <w:proofErr w:type="spellEnd"/>
      <w:r w:rsidRPr="007E5916">
        <w:t>, sua validade pode ser testada. O artigo usa dois testes complementares:</w:t>
      </w:r>
    </w:p>
    <w:p w14:paraId="483859DA" w14:textId="05136126" w:rsidR="007E5916" w:rsidRPr="007E5916" w:rsidRDefault="007E5916" w:rsidP="007E5916">
      <w:pPr>
        <w:jc w:val="both"/>
      </w:pPr>
      <w:r w:rsidRPr="007E5916">
        <w:rPr>
          <w:b/>
          <w:bCs/>
        </w:rPr>
        <w:t xml:space="preserve">Teste de </w:t>
      </w:r>
      <w:proofErr w:type="spellStart"/>
      <w:r w:rsidRPr="007E5916">
        <w:rPr>
          <w:b/>
          <w:bCs/>
        </w:rPr>
        <w:t>Sargan</w:t>
      </w:r>
      <w:proofErr w:type="spellEnd"/>
      <w:r w:rsidRPr="007E5916">
        <w:rPr>
          <w:b/>
          <w:bCs/>
        </w:rPr>
        <w:t>/Hansen (SYS):</w:t>
      </w:r>
      <w:r w:rsidRPr="007E5916">
        <w:t xml:space="preserve"> testa a validade conjunta de todos os momentos do estimador SYS-GMM. Sob a hipótese nula de validade, distribui-se assintoticamente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E5916">
        <w:t xml:space="preserve">. </w:t>
      </w:r>
    </w:p>
    <w:p w14:paraId="34DBDBE9" w14:textId="77777777" w:rsidR="007E5916" w:rsidRPr="007E5916" w:rsidRDefault="007E5916" w:rsidP="007E5916">
      <w:pPr>
        <w:jc w:val="both"/>
      </w:pPr>
      <w:proofErr w:type="spellStart"/>
      <w:r w:rsidRPr="007E5916">
        <w:rPr>
          <w:b/>
          <w:bCs/>
        </w:rPr>
        <w:t>Difference-Sargan</w:t>
      </w:r>
      <w:proofErr w:type="spellEnd"/>
      <w:r w:rsidRPr="007E5916">
        <w:rPr>
          <w:b/>
          <w:bCs/>
        </w:rPr>
        <w:t xml:space="preserve"> (ou teste C):</w:t>
      </w:r>
      <w:r w:rsidRPr="007E5916">
        <w:t xml:space="preserve"> testa especificamente a validade das condições de momento </w:t>
      </w:r>
      <w:r w:rsidRPr="007E5916">
        <w:rPr>
          <w:i/>
          <w:iCs/>
        </w:rPr>
        <w:t>adicionais</w:t>
      </w:r>
      <w:r w:rsidRPr="007E5916">
        <w:t xml:space="preserve">, aquelas exploradas pelas equações em níveis que não estão disponíveis no DIF. Calculado como a diferença entre as estatísticas </w:t>
      </w:r>
      <w:proofErr w:type="spellStart"/>
      <w:r w:rsidRPr="007E5916">
        <w:t>Sargan</w:t>
      </w:r>
      <w:proofErr w:type="spellEnd"/>
      <w:r w:rsidRPr="007E5916">
        <w:t xml:space="preserve"> do SYS e do DIF. É o teste mais informativo para julgar a aplicabilidade do SYS-GMM.</w:t>
      </w:r>
    </w:p>
    <w:p w14:paraId="719039B5" w14:textId="52C1368C" w:rsidR="007E5916" w:rsidRPr="007E5916" w:rsidRDefault="007E5916" w:rsidP="007E5916">
      <w:pPr>
        <w:jc w:val="both"/>
      </w:pPr>
      <w:r w:rsidRPr="007E5916">
        <w:t xml:space="preserve">Uma preocupação levantada no artigo é que, quando os instrumentos são fracos (DIF com </w:t>
      </w:r>
      <m:oMath>
        <m:r>
          <w:rPr>
            <w:rFonts w:ascii="Cambria Math" w:hAnsi="Cambria Math"/>
          </w:rPr>
          <m:t>α</m:t>
        </m:r>
      </m:oMath>
      <w:r w:rsidRPr="007E5916">
        <w:t xml:space="preserve">alto), o próprio Sargan do DIF pode ter distorções de tamanho (rejeitar a hipótese nula com frequência maior que o nível nominal). As simulações Monte Carlo mostram que essas distorções existem, mas são moderadas. </w:t>
      </w:r>
    </w:p>
    <w:p w14:paraId="4502BA35" w14:textId="77777777" w:rsidR="007E5916" w:rsidRPr="007E5916" w:rsidRDefault="007E5916" w:rsidP="007E5916">
      <w:pPr>
        <w:jc w:val="both"/>
      </w:pPr>
      <w:r w:rsidRPr="007E5916">
        <w:pict w14:anchorId="123A8D5B">
          <v:rect id="_x0000_i1094" style="width:0;height:1.5pt" o:hralign="center" o:hrstd="t" o:hr="t" fillcolor="#a0a0a0" stroked="f"/>
        </w:pict>
      </w:r>
    </w:p>
    <w:p w14:paraId="14AE5AFF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6. Aplicação empírica: funções de produção</w:t>
      </w:r>
    </w:p>
    <w:p w14:paraId="7FE5B702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6.1 Dados</w:t>
      </w:r>
    </w:p>
    <w:p w14:paraId="2AAAC7C8" w14:textId="77777777" w:rsidR="007E5916" w:rsidRPr="007E5916" w:rsidRDefault="007E5916" w:rsidP="007E5916">
      <w:pPr>
        <w:jc w:val="both"/>
      </w:pPr>
      <w:r w:rsidRPr="007E5916">
        <w:t>Painel balanceado de 509 firmas manufatureiras norte-americanas com atividade de P&amp;D, observadas por 8 anos (1982–1989).</w:t>
      </w:r>
    </w:p>
    <w:p w14:paraId="74BF0777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6.2 Diagnóstico de persistência</w:t>
      </w:r>
    </w:p>
    <w:p w14:paraId="5F8E48D4" w14:textId="77777777" w:rsidR="007E5916" w:rsidRPr="007E5916" w:rsidRDefault="007E5916" w:rsidP="007E5916">
      <w:pPr>
        <w:jc w:val="both"/>
      </w:pPr>
      <w:r w:rsidRPr="007E5916">
        <w:t xml:space="preserve">Antes de estimar a função de produção, o artigo estima modelos </w:t>
      </w:r>
      <w:proofErr w:type="gramStart"/>
      <w:r w:rsidRPr="007E5916">
        <w:t>AR(</w:t>
      </w:r>
      <w:proofErr w:type="gramEnd"/>
      <w:r w:rsidRPr="007E5916">
        <w:t>1) simples para cada série (emprego, capital e vendas). Os resultados (Tabela IV do artigo) revelam que:</w:t>
      </w:r>
    </w:p>
    <w:p w14:paraId="708CDCBB" w14:textId="77777777" w:rsidR="007E5916" w:rsidRPr="007E5916" w:rsidRDefault="007E5916" w:rsidP="007E5916">
      <w:pPr>
        <w:numPr>
          <w:ilvl w:val="0"/>
          <w:numId w:val="19"/>
        </w:numPr>
        <w:jc w:val="both"/>
      </w:pPr>
      <w:r w:rsidRPr="007E5916">
        <w:t>Os coeficientes autorregressivos OLS são próximos de 0.99 para as três séries.</w:t>
      </w:r>
    </w:p>
    <w:p w14:paraId="66FCEB77" w14:textId="77777777" w:rsidR="007E5916" w:rsidRPr="007E5916" w:rsidRDefault="007E5916" w:rsidP="007E5916">
      <w:pPr>
        <w:numPr>
          <w:ilvl w:val="0"/>
          <w:numId w:val="19"/>
        </w:numPr>
        <w:jc w:val="both"/>
      </w:pPr>
      <w:r w:rsidRPr="007E5916">
        <w:t xml:space="preserve">O estimador </w:t>
      </w:r>
      <w:proofErr w:type="spellStart"/>
      <w:r w:rsidRPr="007E5916">
        <w:t>within-groups</w:t>
      </w:r>
      <w:proofErr w:type="spellEnd"/>
      <w:r w:rsidRPr="007E5916">
        <w:t xml:space="preserve"> indica valores entre 0.69 e 0.73.</w:t>
      </w:r>
    </w:p>
    <w:p w14:paraId="0FE2260D" w14:textId="77777777" w:rsidR="007E5916" w:rsidRPr="007E5916" w:rsidRDefault="007E5916" w:rsidP="007E5916">
      <w:pPr>
        <w:numPr>
          <w:ilvl w:val="0"/>
          <w:numId w:val="19"/>
        </w:numPr>
        <w:jc w:val="both"/>
      </w:pPr>
      <w:r w:rsidRPr="007E5916">
        <w:lastRenderedPageBreak/>
        <w:t xml:space="preserve">O DIF-GMM produz estimativas intermediárias, mas </w:t>
      </w:r>
      <w:r w:rsidRPr="007E5916">
        <w:rPr>
          <w:b/>
          <w:bCs/>
        </w:rPr>
        <w:t>substancialmente abaixo do SYS-GMM</w:t>
      </w:r>
      <w:r w:rsidRPr="007E5916">
        <w:t xml:space="preserve"> para capital e vendas (e.g., DIF estima 0.77 para vendas, SYS estima 0.96), ao passo que para emprego ambos convergem.</w:t>
      </w:r>
    </w:p>
    <w:p w14:paraId="71DA70D3" w14:textId="77777777" w:rsidR="007E5916" w:rsidRPr="007E5916" w:rsidRDefault="007E5916" w:rsidP="007E5916">
      <w:pPr>
        <w:jc w:val="both"/>
      </w:pPr>
      <w:r w:rsidRPr="007E5916">
        <w:t xml:space="preserve">Isso é exatamente o padrão previsto pela teoria de instrumentos fracos: quando a série é muito persistente, o DIF é </w:t>
      </w:r>
      <w:proofErr w:type="spellStart"/>
      <w:r w:rsidRPr="007E5916">
        <w:t>biased</w:t>
      </w:r>
      <w:proofErr w:type="spellEnd"/>
      <w:r w:rsidRPr="007E5916">
        <w:t xml:space="preserve"> para baixo (em direção ao </w:t>
      </w:r>
      <w:proofErr w:type="spellStart"/>
      <w:r w:rsidRPr="007E5916">
        <w:t>within</w:t>
      </w:r>
      <w:proofErr w:type="spellEnd"/>
      <w:r w:rsidRPr="007E5916">
        <w:t>), enquanto o SYS recupera o valor verdadeiro.</w:t>
      </w:r>
    </w:p>
    <w:p w14:paraId="64274004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6.3 Resultados da função de produção (Tabela III)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205"/>
        <w:gridCol w:w="4963"/>
      </w:tblGrid>
      <w:tr w:rsidR="007E5916" w:rsidRPr="007E5916" w14:paraId="68EB8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FD2E9" w14:textId="77777777" w:rsidR="007E5916" w:rsidRPr="007E5916" w:rsidRDefault="007E5916" w:rsidP="007E5916">
            <w:pPr>
              <w:jc w:val="both"/>
              <w:rPr>
                <w:b/>
                <w:bCs/>
              </w:rPr>
            </w:pPr>
            <w:r w:rsidRPr="007E5916">
              <w:rPr>
                <w:b/>
                <w:bCs/>
              </w:rPr>
              <w:t>Estimador</w:t>
            </w:r>
          </w:p>
        </w:tc>
        <w:tc>
          <w:tcPr>
            <w:tcW w:w="0" w:type="auto"/>
            <w:vAlign w:val="center"/>
            <w:hideMark/>
          </w:tcPr>
          <w:p w14:paraId="4FDB1F57" w14:textId="2458F255" w:rsidR="007E5916" w:rsidRPr="007E5916" w:rsidRDefault="007E5916" w:rsidP="007E5916">
            <w:pPr>
              <w:jc w:val="both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7E5916">
              <w:rPr>
                <w:b/>
                <w:bCs/>
              </w:rPr>
              <w:t xml:space="preserve">(capital) </w:t>
            </w:r>
          </w:p>
        </w:tc>
        <w:tc>
          <w:tcPr>
            <w:tcW w:w="0" w:type="auto"/>
            <w:vAlign w:val="center"/>
            <w:hideMark/>
          </w:tcPr>
          <w:p w14:paraId="244E3F9F" w14:textId="77777777" w:rsidR="007E5916" w:rsidRPr="007E5916" w:rsidRDefault="007E5916" w:rsidP="007E5916">
            <w:pPr>
              <w:jc w:val="both"/>
              <w:rPr>
                <w:b/>
                <w:bCs/>
              </w:rPr>
            </w:pPr>
            <w:r w:rsidRPr="007E5916">
              <w:rPr>
                <w:b/>
                <w:bCs/>
              </w:rPr>
              <w:t>Retornos de escala</w:t>
            </w:r>
          </w:p>
        </w:tc>
      </w:tr>
      <w:tr w:rsidR="007E5916" w:rsidRPr="007E5916" w14:paraId="77A5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E1A5" w14:textId="77777777" w:rsidR="007E5916" w:rsidRPr="007E5916" w:rsidRDefault="007E5916" w:rsidP="007E5916">
            <w:pPr>
              <w:jc w:val="both"/>
            </w:pPr>
            <w:r w:rsidRPr="007E5916">
              <w:t>OLS níveis</w:t>
            </w:r>
          </w:p>
        </w:tc>
        <w:tc>
          <w:tcPr>
            <w:tcW w:w="0" w:type="auto"/>
            <w:vAlign w:val="center"/>
            <w:hideMark/>
          </w:tcPr>
          <w:p w14:paraId="75DC4FF4" w14:textId="77777777" w:rsidR="007E5916" w:rsidRPr="007E5916" w:rsidRDefault="007E5916" w:rsidP="007E5916">
            <w:pPr>
              <w:jc w:val="both"/>
            </w:pPr>
            <w:r w:rsidRPr="007E5916">
              <w:t>0.24</w:t>
            </w:r>
          </w:p>
        </w:tc>
        <w:tc>
          <w:tcPr>
            <w:tcW w:w="0" w:type="auto"/>
            <w:vAlign w:val="center"/>
            <w:hideMark/>
          </w:tcPr>
          <w:p w14:paraId="1FF43BC1" w14:textId="77777777" w:rsidR="007E5916" w:rsidRPr="007E5916" w:rsidRDefault="007E5916" w:rsidP="007E5916">
            <w:pPr>
              <w:jc w:val="both"/>
            </w:pPr>
            <w:r w:rsidRPr="007E5916">
              <w:t>Plausível (p-valor CRS = 0)</w:t>
            </w:r>
          </w:p>
        </w:tc>
      </w:tr>
      <w:tr w:rsidR="007E5916" w:rsidRPr="007E5916" w14:paraId="212AD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7D26" w14:textId="77777777" w:rsidR="007E5916" w:rsidRPr="007E5916" w:rsidRDefault="007E5916" w:rsidP="007E5916">
            <w:pPr>
              <w:jc w:val="both"/>
            </w:pPr>
            <w:proofErr w:type="spellStart"/>
            <w:r w:rsidRPr="007E5916">
              <w:t>Within</w:t>
            </w:r>
            <w:proofErr w:type="spellEnd"/>
            <w:r w:rsidRPr="007E5916">
              <w:t xml:space="preserve"> </w:t>
            </w:r>
            <w:proofErr w:type="spellStart"/>
            <w:r w:rsidRPr="007E5916">
              <w:t>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FE2F6" w14:textId="77777777" w:rsidR="007E5916" w:rsidRPr="007E5916" w:rsidRDefault="007E5916" w:rsidP="007E5916">
            <w:pPr>
              <w:jc w:val="both"/>
            </w:pPr>
            <w:r w:rsidRPr="007E5916">
              <w:t>0.18</w:t>
            </w:r>
          </w:p>
        </w:tc>
        <w:tc>
          <w:tcPr>
            <w:tcW w:w="0" w:type="auto"/>
            <w:vAlign w:val="center"/>
            <w:hideMark/>
          </w:tcPr>
          <w:p w14:paraId="5C82CE22" w14:textId="77777777" w:rsidR="007E5916" w:rsidRPr="007E5916" w:rsidRDefault="007E5916" w:rsidP="007E5916">
            <w:pPr>
              <w:jc w:val="both"/>
            </w:pPr>
            <w:r w:rsidRPr="007E5916">
              <w:t>Decrescentes (p-valor CRS = 0)</w:t>
            </w:r>
          </w:p>
        </w:tc>
      </w:tr>
      <w:tr w:rsidR="007E5916" w:rsidRPr="007E5916" w14:paraId="22BF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FAF9" w14:textId="77777777" w:rsidR="007E5916" w:rsidRPr="007E5916" w:rsidRDefault="007E5916" w:rsidP="007E5916">
            <w:pPr>
              <w:jc w:val="both"/>
            </w:pPr>
            <w:r w:rsidRPr="007E5916">
              <w:t>DIF-GMM</w:t>
            </w:r>
          </w:p>
        </w:tc>
        <w:tc>
          <w:tcPr>
            <w:tcW w:w="0" w:type="auto"/>
            <w:vAlign w:val="center"/>
            <w:hideMark/>
          </w:tcPr>
          <w:p w14:paraId="3BA2E153" w14:textId="77777777" w:rsidR="007E5916" w:rsidRPr="007E5916" w:rsidRDefault="007E5916" w:rsidP="007E5916">
            <w:pPr>
              <w:jc w:val="both"/>
            </w:pPr>
            <w:r w:rsidRPr="007E5916">
              <w:t>0.13–0.19</w:t>
            </w:r>
          </w:p>
        </w:tc>
        <w:tc>
          <w:tcPr>
            <w:tcW w:w="0" w:type="auto"/>
            <w:vAlign w:val="center"/>
            <w:hideMark/>
          </w:tcPr>
          <w:p w14:paraId="72AAEFD7" w14:textId="77777777" w:rsidR="007E5916" w:rsidRPr="007E5916" w:rsidRDefault="007E5916" w:rsidP="007E5916">
            <w:pPr>
              <w:jc w:val="both"/>
            </w:pPr>
            <w:r w:rsidRPr="007E5916">
              <w:t>Decrescentes (p-valor CRS = 0)</w:t>
            </w:r>
          </w:p>
        </w:tc>
      </w:tr>
      <w:tr w:rsidR="007E5916" w:rsidRPr="007E5916" w14:paraId="6CEB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3863" w14:textId="77777777" w:rsidR="007E5916" w:rsidRPr="007E5916" w:rsidRDefault="007E5916" w:rsidP="007E5916">
            <w:pPr>
              <w:jc w:val="both"/>
            </w:pPr>
            <w:r w:rsidRPr="007E5916">
              <w:rPr>
                <w:b/>
                <w:bCs/>
              </w:rPr>
              <w:t>SYS-GMM</w:t>
            </w:r>
          </w:p>
        </w:tc>
        <w:tc>
          <w:tcPr>
            <w:tcW w:w="0" w:type="auto"/>
            <w:vAlign w:val="center"/>
            <w:hideMark/>
          </w:tcPr>
          <w:p w14:paraId="1FA8FC58" w14:textId="77777777" w:rsidR="007E5916" w:rsidRPr="007E5916" w:rsidRDefault="007E5916" w:rsidP="007E5916">
            <w:pPr>
              <w:jc w:val="both"/>
            </w:pPr>
            <w:r w:rsidRPr="007E5916">
              <w:rPr>
                <w:b/>
                <w:bCs/>
              </w:rPr>
              <w:t>0.36–0.40</w:t>
            </w:r>
          </w:p>
        </w:tc>
        <w:tc>
          <w:tcPr>
            <w:tcW w:w="0" w:type="auto"/>
            <w:vAlign w:val="center"/>
            <w:hideMark/>
          </w:tcPr>
          <w:p w14:paraId="30E56F4C" w14:textId="77777777" w:rsidR="007E5916" w:rsidRPr="007E5916" w:rsidRDefault="007E5916" w:rsidP="007E5916">
            <w:pPr>
              <w:jc w:val="both"/>
            </w:pPr>
            <w:r w:rsidRPr="007E5916">
              <w:rPr>
                <w:b/>
                <w:bCs/>
              </w:rPr>
              <w:t>Retornos constantes não rejeitados (p ≈ 0.92)</w:t>
            </w:r>
          </w:p>
        </w:tc>
      </w:tr>
    </w:tbl>
    <w:p w14:paraId="20C1639A" w14:textId="77777777" w:rsidR="007E5916" w:rsidRPr="007E5916" w:rsidRDefault="007E5916" w:rsidP="007E5916">
      <w:pPr>
        <w:jc w:val="both"/>
      </w:pPr>
      <w:r w:rsidRPr="007E5916">
        <w:t>O SYS-GMM é o único estimador que produz coeficiente de capital alto e significativo, e não rejeita retornos constantes de escala, consistente com evidências de contabilidade de fatores e a literatura anterior.</w:t>
      </w:r>
    </w:p>
    <w:p w14:paraId="3616D87F" w14:textId="77777777" w:rsidR="007E5916" w:rsidRPr="007E5916" w:rsidRDefault="007E5916" w:rsidP="007E5916">
      <w:pPr>
        <w:jc w:val="both"/>
      </w:pPr>
      <w:r w:rsidRPr="007E5916">
        <w:t xml:space="preserve">O </w:t>
      </w:r>
      <w:proofErr w:type="spellStart"/>
      <w:r w:rsidRPr="007E5916">
        <w:t>Difference-Sargan</w:t>
      </w:r>
      <w:proofErr w:type="spellEnd"/>
      <w:r w:rsidRPr="007E5916">
        <w:t xml:space="preserve"> não rejeita a validade das restrições adicionais dos níveis, confirmando que as condições de momento do SYS são adequadas nesse contexto.</w:t>
      </w:r>
    </w:p>
    <w:p w14:paraId="257C59E7" w14:textId="77777777" w:rsidR="007E5916" w:rsidRPr="007E5916" w:rsidRDefault="007E5916" w:rsidP="007E5916">
      <w:pPr>
        <w:jc w:val="both"/>
      </w:pPr>
      <w:r w:rsidRPr="007E5916">
        <w:pict w14:anchorId="6B4DA184">
          <v:rect id="_x0000_i1095" style="width:0;height:1.5pt" o:hralign="center" o:hrstd="t" o:hr="t" fillcolor="#a0a0a0" stroked="f"/>
        </w:pict>
      </w:r>
    </w:p>
    <w:p w14:paraId="2E91BD9F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7. Intuição econométrica: por que o SYS funciona aqui?</w:t>
      </w:r>
    </w:p>
    <w:p w14:paraId="28245A46" w14:textId="77777777" w:rsidR="007E5916" w:rsidRPr="007E5916" w:rsidRDefault="007E5916" w:rsidP="007E5916">
      <w:pPr>
        <w:jc w:val="both"/>
      </w:pPr>
      <w:r w:rsidRPr="007E5916">
        <w:t xml:space="preserve">A razão prática é que, para séries persistentes, a variação em diferenças (i.e., o crescimento da firma) carrega pouca informação sobre os níveis defasados. Em contrapartida, a </w:t>
      </w:r>
      <w:r w:rsidRPr="007E5916">
        <w:rPr>
          <w:b/>
          <w:bCs/>
        </w:rPr>
        <w:t xml:space="preserve">variação </w:t>
      </w:r>
      <w:proofErr w:type="spellStart"/>
      <w:r w:rsidRPr="007E5916">
        <w:rPr>
          <w:b/>
          <w:bCs/>
        </w:rPr>
        <w:t>cross-sectional</w:t>
      </w:r>
      <w:proofErr w:type="spellEnd"/>
      <w:r w:rsidRPr="007E5916">
        <w:rPr>
          <w:b/>
          <w:bCs/>
        </w:rPr>
        <w:t xml:space="preserve"> nos níveis</w:t>
      </w:r>
      <w:r w:rsidRPr="007E5916">
        <w:t xml:space="preserve"> das firmas, instrumentada pelas diferenças passadas, é muito mais informativa sobre os níveis correntes. O SYS-GMM explora essa variação, que o DIF simplesmente descarta ao eliminar os níveis via diferenciação.</w:t>
      </w:r>
    </w:p>
    <w:p w14:paraId="15A7FD48" w14:textId="77777777" w:rsidR="007E5916" w:rsidRPr="007E5916" w:rsidRDefault="007E5916" w:rsidP="007E5916">
      <w:pPr>
        <w:jc w:val="both"/>
      </w:pPr>
      <w:r w:rsidRPr="007E5916">
        <w:pict w14:anchorId="1C3A2D68">
          <v:rect id="_x0000_i1096" style="width:0;height:1.5pt" o:hralign="center" o:hrstd="t" o:hr="t" fillcolor="#a0a0a0" stroked="f"/>
        </w:pict>
      </w:r>
    </w:p>
    <w:p w14:paraId="68AC826E" w14:textId="77777777" w:rsidR="007E5916" w:rsidRPr="007E5916" w:rsidRDefault="007E5916" w:rsidP="007E5916">
      <w:pPr>
        <w:jc w:val="both"/>
        <w:rPr>
          <w:b/>
          <w:bCs/>
        </w:rPr>
      </w:pPr>
      <w:r w:rsidRPr="007E5916">
        <w:rPr>
          <w:b/>
          <w:bCs/>
        </w:rPr>
        <w:t>8. Contribuição e legado</w:t>
      </w:r>
    </w:p>
    <w:p w14:paraId="3D14968B" w14:textId="77777777" w:rsidR="007E5916" w:rsidRPr="007E5916" w:rsidRDefault="007E5916" w:rsidP="007E5916">
      <w:pPr>
        <w:jc w:val="both"/>
      </w:pPr>
      <w:r w:rsidRPr="007E5916">
        <w:t>O artigo tem três contribuições principais:</w:t>
      </w:r>
    </w:p>
    <w:p w14:paraId="59E03181" w14:textId="77777777" w:rsidR="007E5916" w:rsidRPr="007E5916" w:rsidRDefault="007E5916" w:rsidP="007E5916">
      <w:pPr>
        <w:numPr>
          <w:ilvl w:val="0"/>
          <w:numId w:val="20"/>
        </w:numPr>
        <w:jc w:val="both"/>
      </w:pPr>
      <w:r w:rsidRPr="007E5916">
        <w:rPr>
          <w:b/>
          <w:bCs/>
        </w:rPr>
        <w:t>Diagnóstico rigoroso</w:t>
      </w:r>
      <w:r w:rsidRPr="007E5916">
        <w:t xml:space="preserve"> do problema de instrumentos fracos no estimador AB-DIF, caracterizado via parâmetro de concentração.</w:t>
      </w:r>
    </w:p>
    <w:p w14:paraId="08D807FF" w14:textId="77777777" w:rsidR="007E5916" w:rsidRPr="007E5916" w:rsidRDefault="007E5916" w:rsidP="007E5916">
      <w:pPr>
        <w:numPr>
          <w:ilvl w:val="0"/>
          <w:numId w:val="20"/>
        </w:numPr>
        <w:jc w:val="both"/>
      </w:pPr>
      <w:r w:rsidRPr="007E5916">
        <w:rPr>
          <w:b/>
          <w:bCs/>
        </w:rPr>
        <w:lastRenderedPageBreak/>
        <w:t>Proposta do estimador SYS-GMM</w:t>
      </w:r>
      <w:r w:rsidRPr="007E5916">
        <w:t xml:space="preserve">, que combina condições de momento em diferenças e em níveis sob uma condição de </w:t>
      </w:r>
      <w:proofErr w:type="spellStart"/>
      <w:r w:rsidRPr="007E5916">
        <w:t>estacionariedade</w:t>
      </w:r>
      <w:proofErr w:type="spellEnd"/>
      <w:r w:rsidRPr="007E5916">
        <w:t xml:space="preserve"> das condições iniciais.</w:t>
      </w:r>
    </w:p>
    <w:p w14:paraId="62B764DA" w14:textId="77777777" w:rsidR="007E5916" w:rsidRPr="007E5916" w:rsidRDefault="007E5916" w:rsidP="007E5916">
      <w:pPr>
        <w:numPr>
          <w:ilvl w:val="0"/>
          <w:numId w:val="20"/>
        </w:numPr>
        <w:jc w:val="both"/>
      </w:pPr>
      <w:r w:rsidRPr="007E5916">
        <w:rPr>
          <w:b/>
          <w:bCs/>
        </w:rPr>
        <w:t>Testes de validade</w:t>
      </w:r>
      <w:r w:rsidRPr="007E5916">
        <w:t xml:space="preserve"> (</w:t>
      </w:r>
      <w:proofErr w:type="spellStart"/>
      <w:r w:rsidRPr="007E5916">
        <w:t>Difference-Sargan</w:t>
      </w:r>
      <w:proofErr w:type="spellEnd"/>
      <w:r w:rsidRPr="007E5916">
        <w:t>) que permitem avaliar empiricamente se as restrições adicionais são sustentáveis.</w:t>
      </w:r>
    </w:p>
    <w:p w14:paraId="30A4E746" w14:textId="77777777" w:rsidR="007E5916" w:rsidRPr="007E5916" w:rsidRDefault="007E5916" w:rsidP="007E5916">
      <w:pPr>
        <w:jc w:val="both"/>
      </w:pPr>
      <w:r w:rsidRPr="007E5916">
        <w:t xml:space="preserve">Na prática, o SYS-GMM se tornou o estimador padrão para dados de painel dinâmicos com séries persistentes, usado amplamente em finanças corporativas, macroeconomia do crescimento, demanda por trabalho, e diversas outras aplicações. A condição de </w:t>
      </w:r>
      <w:proofErr w:type="spellStart"/>
      <w:r w:rsidRPr="007E5916">
        <w:t>estacionariedade</w:t>
      </w:r>
      <w:proofErr w:type="spellEnd"/>
      <w:r w:rsidRPr="007E5916">
        <w:t xml:space="preserve"> das condições iniciais é a restrição que o pesquisador precisa justificar no contexto de sua aplicação, e o </w:t>
      </w:r>
      <w:proofErr w:type="spellStart"/>
      <w:r w:rsidRPr="007E5916">
        <w:t>Difference-Sargan</w:t>
      </w:r>
      <w:proofErr w:type="spellEnd"/>
      <w:r w:rsidRPr="007E5916">
        <w:t xml:space="preserve"> é a ferramenta para testá-la.</w:t>
      </w:r>
    </w:p>
    <w:p w14:paraId="5E60891C" w14:textId="45CE8E91" w:rsidR="00CE50EA" w:rsidRPr="00F20327" w:rsidRDefault="00CE50EA" w:rsidP="000456B2">
      <w:pPr>
        <w:jc w:val="both"/>
      </w:pPr>
    </w:p>
    <w:sectPr w:rsidR="00CE50EA" w:rsidRPr="00F20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38B"/>
    <w:multiLevelType w:val="multilevel"/>
    <w:tmpl w:val="F83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104"/>
    <w:multiLevelType w:val="multilevel"/>
    <w:tmpl w:val="6AE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F54"/>
    <w:multiLevelType w:val="multilevel"/>
    <w:tmpl w:val="94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9212D"/>
    <w:multiLevelType w:val="multilevel"/>
    <w:tmpl w:val="EAF0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33A22"/>
    <w:multiLevelType w:val="multilevel"/>
    <w:tmpl w:val="B11E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A2FA5"/>
    <w:multiLevelType w:val="multilevel"/>
    <w:tmpl w:val="22B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D5BE4"/>
    <w:multiLevelType w:val="multilevel"/>
    <w:tmpl w:val="150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503F1"/>
    <w:multiLevelType w:val="multilevel"/>
    <w:tmpl w:val="CFE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3333"/>
    <w:multiLevelType w:val="multilevel"/>
    <w:tmpl w:val="B49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E7C69"/>
    <w:multiLevelType w:val="multilevel"/>
    <w:tmpl w:val="3B1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C71CA"/>
    <w:multiLevelType w:val="multilevel"/>
    <w:tmpl w:val="683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2413F"/>
    <w:multiLevelType w:val="multilevel"/>
    <w:tmpl w:val="8F28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478AB"/>
    <w:multiLevelType w:val="multilevel"/>
    <w:tmpl w:val="0A9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19"/>
  </w:num>
  <w:num w:numId="2" w16cid:durableId="420641952">
    <w:abstractNumId w:val="12"/>
  </w:num>
  <w:num w:numId="3" w16cid:durableId="1473600929">
    <w:abstractNumId w:val="8"/>
  </w:num>
  <w:num w:numId="4" w16cid:durableId="1752894155">
    <w:abstractNumId w:val="16"/>
  </w:num>
  <w:num w:numId="5" w16cid:durableId="728500294">
    <w:abstractNumId w:val="1"/>
  </w:num>
  <w:num w:numId="6" w16cid:durableId="256912926">
    <w:abstractNumId w:val="11"/>
  </w:num>
  <w:num w:numId="7" w16cid:durableId="248272313">
    <w:abstractNumId w:val="4"/>
  </w:num>
  <w:num w:numId="8" w16cid:durableId="1625765398">
    <w:abstractNumId w:val="5"/>
  </w:num>
  <w:num w:numId="9" w16cid:durableId="370424167">
    <w:abstractNumId w:val="6"/>
  </w:num>
  <w:num w:numId="10" w16cid:durableId="752777771">
    <w:abstractNumId w:val="7"/>
  </w:num>
  <w:num w:numId="11" w16cid:durableId="355234556">
    <w:abstractNumId w:val="3"/>
  </w:num>
  <w:num w:numId="12" w16cid:durableId="132068978">
    <w:abstractNumId w:val="14"/>
  </w:num>
  <w:num w:numId="13" w16cid:durableId="522590920">
    <w:abstractNumId w:val="0"/>
  </w:num>
  <w:num w:numId="14" w16cid:durableId="895091077">
    <w:abstractNumId w:val="10"/>
  </w:num>
  <w:num w:numId="15" w16cid:durableId="725490230">
    <w:abstractNumId w:val="2"/>
  </w:num>
  <w:num w:numId="16" w16cid:durableId="1736271111">
    <w:abstractNumId w:val="18"/>
  </w:num>
  <w:num w:numId="17" w16cid:durableId="1948194251">
    <w:abstractNumId w:val="13"/>
  </w:num>
  <w:num w:numId="18" w16cid:durableId="740517095">
    <w:abstractNumId w:val="17"/>
  </w:num>
  <w:num w:numId="19" w16cid:durableId="694841311">
    <w:abstractNumId w:val="15"/>
  </w:num>
  <w:num w:numId="20" w16cid:durableId="742525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007B6C"/>
    <w:rsid w:val="000456B2"/>
    <w:rsid w:val="00085062"/>
    <w:rsid w:val="00107928"/>
    <w:rsid w:val="00234275"/>
    <w:rsid w:val="002B3729"/>
    <w:rsid w:val="00305F92"/>
    <w:rsid w:val="00362124"/>
    <w:rsid w:val="003C6A87"/>
    <w:rsid w:val="004934C7"/>
    <w:rsid w:val="00630942"/>
    <w:rsid w:val="00652375"/>
    <w:rsid w:val="006B7E4C"/>
    <w:rsid w:val="006F7E3A"/>
    <w:rsid w:val="007B0D78"/>
    <w:rsid w:val="007B5240"/>
    <w:rsid w:val="007E5916"/>
    <w:rsid w:val="00831A1F"/>
    <w:rsid w:val="008806F8"/>
    <w:rsid w:val="008D3628"/>
    <w:rsid w:val="009B17E4"/>
    <w:rsid w:val="00A17ECD"/>
    <w:rsid w:val="00A827CF"/>
    <w:rsid w:val="00AB053A"/>
    <w:rsid w:val="00B322D0"/>
    <w:rsid w:val="00B619C1"/>
    <w:rsid w:val="00C92749"/>
    <w:rsid w:val="00CE50EA"/>
    <w:rsid w:val="00E17EA5"/>
    <w:rsid w:val="00E34530"/>
    <w:rsid w:val="00F20327"/>
    <w:rsid w:val="00F6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7E3A"/>
    <w:rPr>
      <w:b/>
      <w:bCs/>
    </w:rPr>
  </w:style>
  <w:style w:type="character" w:styleId="nfase">
    <w:name w:val="Emphasis"/>
    <w:basedOn w:val="Fontepargpadro"/>
    <w:uiPriority w:val="20"/>
    <w:qFormat/>
    <w:rsid w:val="006F7E3A"/>
    <w:rPr>
      <w:i/>
      <w:iCs/>
    </w:rPr>
  </w:style>
  <w:style w:type="character" w:customStyle="1" w:styleId="katex-display">
    <w:name w:val="katex-display"/>
    <w:basedOn w:val="Fontepargpadro"/>
    <w:rsid w:val="006F7E3A"/>
  </w:style>
  <w:style w:type="character" w:customStyle="1" w:styleId="katex">
    <w:name w:val="katex"/>
    <w:basedOn w:val="Fontepargpadro"/>
    <w:rsid w:val="006F7E3A"/>
  </w:style>
  <w:style w:type="character" w:customStyle="1" w:styleId="katex-mathml">
    <w:name w:val="katex-mathml"/>
    <w:basedOn w:val="Fontepargpadro"/>
    <w:rsid w:val="006F7E3A"/>
  </w:style>
  <w:style w:type="character" w:customStyle="1" w:styleId="katex-html">
    <w:name w:val="katex-html"/>
    <w:basedOn w:val="Fontepargpadro"/>
    <w:rsid w:val="006F7E3A"/>
  </w:style>
  <w:style w:type="character" w:customStyle="1" w:styleId="base">
    <w:name w:val="base"/>
    <w:basedOn w:val="Fontepargpadro"/>
    <w:rsid w:val="006F7E3A"/>
  </w:style>
  <w:style w:type="character" w:customStyle="1" w:styleId="strut">
    <w:name w:val="strut"/>
    <w:basedOn w:val="Fontepargpadro"/>
    <w:rsid w:val="006F7E3A"/>
  </w:style>
  <w:style w:type="character" w:customStyle="1" w:styleId="mord">
    <w:name w:val="mord"/>
    <w:basedOn w:val="Fontepargpadro"/>
    <w:rsid w:val="006F7E3A"/>
  </w:style>
  <w:style w:type="character" w:customStyle="1" w:styleId="msupsub">
    <w:name w:val="msupsub"/>
    <w:basedOn w:val="Fontepargpadro"/>
    <w:rsid w:val="006F7E3A"/>
  </w:style>
  <w:style w:type="character" w:customStyle="1" w:styleId="vlist-t">
    <w:name w:val="vlist-t"/>
    <w:basedOn w:val="Fontepargpadro"/>
    <w:rsid w:val="006F7E3A"/>
  </w:style>
  <w:style w:type="character" w:customStyle="1" w:styleId="vlist-r">
    <w:name w:val="vlist-r"/>
    <w:basedOn w:val="Fontepargpadro"/>
    <w:rsid w:val="006F7E3A"/>
  </w:style>
  <w:style w:type="character" w:customStyle="1" w:styleId="vlist">
    <w:name w:val="vlist"/>
    <w:basedOn w:val="Fontepargpadro"/>
    <w:rsid w:val="006F7E3A"/>
  </w:style>
  <w:style w:type="character" w:customStyle="1" w:styleId="pstrut">
    <w:name w:val="pstrut"/>
    <w:basedOn w:val="Fontepargpadro"/>
    <w:rsid w:val="006F7E3A"/>
  </w:style>
  <w:style w:type="character" w:customStyle="1" w:styleId="sizing">
    <w:name w:val="sizing"/>
    <w:basedOn w:val="Fontepargpadro"/>
    <w:rsid w:val="006F7E3A"/>
  </w:style>
  <w:style w:type="character" w:customStyle="1" w:styleId="vlist-s">
    <w:name w:val="vlist-s"/>
    <w:basedOn w:val="Fontepargpadro"/>
    <w:rsid w:val="006F7E3A"/>
  </w:style>
  <w:style w:type="character" w:customStyle="1" w:styleId="mspace">
    <w:name w:val="mspace"/>
    <w:basedOn w:val="Fontepargpadro"/>
    <w:rsid w:val="006F7E3A"/>
  </w:style>
  <w:style w:type="character" w:customStyle="1" w:styleId="mrel">
    <w:name w:val="mrel"/>
    <w:basedOn w:val="Fontepargpadro"/>
    <w:rsid w:val="006F7E3A"/>
  </w:style>
  <w:style w:type="character" w:customStyle="1" w:styleId="mpunct">
    <w:name w:val="mpunct"/>
    <w:basedOn w:val="Fontepargpadro"/>
    <w:rsid w:val="006F7E3A"/>
  </w:style>
  <w:style w:type="character" w:customStyle="1" w:styleId="mbin">
    <w:name w:val="mbin"/>
    <w:basedOn w:val="Fontepargpadro"/>
    <w:rsid w:val="006F7E3A"/>
  </w:style>
  <w:style w:type="character" w:customStyle="1" w:styleId="mopen">
    <w:name w:val="mopen"/>
    <w:basedOn w:val="Fontepargpadro"/>
    <w:rsid w:val="006F7E3A"/>
  </w:style>
  <w:style w:type="character" w:customStyle="1" w:styleId="mclose">
    <w:name w:val="mclose"/>
    <w:basedOn w:val="Fontepargpadro"/>
    <w:rsid w:val="006F7E3A"/>
  </w:style>
  <w:style w:type="character" w:customStyle="1" w:styleId="minner">
    <w:name w:val="minner"/>
    <w:basedOn w:val="Fontepargpadro"/>
    <w:rsid w:val="006F7E3A"/>
  </w:style>
  <w:style w:type="character" w:customStyle="1" w:styleId="thinbox">
    <w:name w:val="thinbox"/>
    <w:basedOn w:val="Fontepargpadro"/>
    <w:rsid w:val="006F7E3A"/>
  </w:style>
  <w:style w:type="character" w:customStyle="1" w:styleId="rlap">
    <w:name w:val="rlap"/>
    <w:basedOn w:val="Fontepargpadro"/>
    <w:rsid w:val="006F7E3A"/>
  </w:style>
  <w:style w:type="character" w:customStyle="1" w:styleId="inner">
    <w:name w:val="inner"/>
    <w:basedOn w:val="Fontepargpadro"/>
    <w:rsid w:val="006F7E3A"/>
  </w:style>
  <w:style w:type="character" w:customStyle="1" w:styleId="fix">
    <w:name w:val="fix"/>
    <w:basedOn w:val="Fontepargpadro"/>
    <w:rsid w:val="006F7E3A"/>
  </w:style>
  <w:style w:type="character" w:customStyle="1" w:styleId="mfrac">
    <w:name w:val="mfrac"/>
    <w:basedOn w:val="Fontepargpadro"/>
    <w:rsid w:val="006F7E3A"/>
  </w:style>
  <w:style w:type="character" w:customStyle="1" w:styleId="frac-line">
    <w:name w:val="frac-line"/>
    <w:basedOn w:val="Fontepargpadro"/>
    <w:rsid w:val="006F7E3A"/>
  </w:style>
  <w:style w:type="character" w:customStyle="1" w:styleId="delimsizing">
    <w:name w:val="delimsizing"/>
    <w:basedOn w:val="Fontepargpadro"/>
    <w:rsid w:val="006F7E3A"/>
  </w:style>
  <w:style w:type="character" w:customStyle="1" w:styleId="mtable">
    <w:name w:val="mtable"/>
    <w:basedOn w:val="Fontepargpadro"/>
    <w:rsid w:val="006F7E3A"/>
  </w:style>
  <w:style w:type="character" w:customStyle="1" w:styleId="col-align-c">
    <w:name w:val="col-align-c"/>
    <w:basedOn w:val="Fontepargpadro"/>
    <w:rsid w:val="006F7E3A"/>
  </w:style>
  <w:style w:type="character" w:customStyle="1" w:styleId="arraycolsep">
    <w:name w:val="arraycolsep"/>
    <w:basedOn w:val="Fontepargpadro"/>
    <w:rsid w:val="006F7E3A"/>
  </w:style>
  <w:style w:type="character" w:customStyle="1" w:styleId="accent-body">
    <w:name w:val="accent-body"/>
    <w:basedOn w:val="Fontepargpadro"/>
    <w:rsid w:val="006F7E3A"/>
  </w:style>
  <w:style w:type="character" w:customStyle="1" w:styleId="mop">
    <w:name w:val="mop"/>
    <w:basedOn w:val="Fontepargpadro"/>
    <w:rsid w:val="006F7E3A"/>
  </w:style>
  <w:style w:type="character" w:customStyle="1" w:styleId="svg-align">
    <w:name w:val="svg-align"/>
    <w:basedOn w:val="Fontepargpadro"/>
    <w:rsid w:val="006F7E3A"/>
  </w:style>
  <w:style w:type="paragraph" w:customStyle="1" w:styleId="whitespace-normal">
    <w:name w:val="whitespace-normal"/>
    <w:basedOn w:val="Normal"/>
    <w:rsid w:val="006F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ide-tail">
    <w:name w:val="hide-tail"/>
    <w:basedOn w:val="Fontepargpadro"/>
    <w:rsid w:val="006F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1458</Words>
  <Characters>8268</Characters>
  <Application>Microsoft Office Word</Application>
  <DocSecurity>0</DocSecurity>
  <Lines>183</Lines>
  <Paragraphs>88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10</cp:revision>
  <dcterms:created xsi:type="dcterms:W3CDTF">2026-04-13T17:03:00Z</dcterms:created>
  <dcterms:modified xsi:type="dcterms:W3CDTF">2026-04-13T20:19:00Z</dcterms:modified>
</cp:coreProperties>
</file>