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CA3B" w14:textId="3534A066" w:rsidR="006F7E3A" w:rsidRDefault="006F7E3A" w:rsidP="006F7E3A">
      <w:pPr>
        <w:jc w:val="both"/>
        <w:rPr>
          <w:b/>
          <w:bCs/>
        </w:rPr>
      </w:pPr>
      <w:r w:rsidRPr="00FE0673">
        <w:rPr>
          <w:b/>
          <w:bCs/>
        </w:rPr>
        <w:t xml:space="preserve">Resumo Detalhado: </w:t>
      </w:r>
      <w:r w:rsidR="00CD0734" w:rsidRPr="00CD0734">
        <w:rPr>
          <w:b/>
          <w:bCs/>
        </w:rPr>
        <w:t>Levinsohn and Petrin (200</w:t>
      </w:r>
      <w:r w:rsidR="00C90810">
        <w:rPr>
          <w:b/>
          <w:bCs/>
        </w:rPr>
        <w:t>3</w:t>
      </w:r>
      <w:r w:rsidR="00CD0734" w:rsidRPr="00CD0734">
        <w:rPr>
          <w:b/>
          <w:bCs/>
        </w:rPr>
        <w:t>)</w:t>
      </w:r>
    </w:p>
    <w:p w14:paraId="3A9F6716" w14:textId="77777777" w:rsidR="00F57997" w:rsidRPr="00F57997" w:rsidRDefault="00F57997" w:rsidP="00F57997">
      <w:pPr>
        <w:jc w:val="both"/>
        <w:rPr>
          <w:b/>
          <w:bCs/>
          <w:lang w:val="en-US"/>
        </w:rPr>
      </w:pPr>
      <w:r w:rsidRPr="00F57997">
        <w:rPr>
          <w:b/>
          <w:bCs/>
          <w:lang w:val="en-US"/>
        </w:rPr>
        <w:t>Levinsohn &amp; Petrin (</w:t>
      </w:r>
      <w:proofErr w:type="gramStart"/>
      <w:r w:rsidRPr="00F57997">
        <w:rPr>
          <w:b/>
          <w:bCs/>
          <w:lang w:val="en-US"/>
        </w:rPr>
        <w:t>2003) —</w:t>
      </w:r>
      <w:proofErr w:type="gramEnd"/>
      <w:r w:rsidRPr="00F57997">
        <w:rPr>
          <w:b/>
          <w:bCs/>
          <w:lang w:val="en-US"/>
        </w:rPr>
        <w:t xml:space="preserve"> "Estimating Production Functions Using Inputs to Control for Unobservables"</w:t>
      </w:r>
    </w:p>
    <w:p w14:paraId="104292EF" w14:textId="77777777" w:rsidR="00F57997" w:rsidRPr="00F57997" w:rsidRDefault="00F57997" w:rsidP="00F57997">
      <w:pPr>
        <w:jc w:val="both"/>
        <w:rPr>
          <w:lang w:val="en-US"/>
        </w:rPr>
      </w:pPr>
      <w:r w:rsidRPr="00F57997">
        <w:rPr>
          <w:i/>
          <w:iCs/>
          <w:lang w:val="en-US"/>
        </w:rPr>
        <w:t>Review of Economic Studies, Vol. 70, No. 2, pp. 317–341</w:t>
      </w:r>
    </w:p>
    <w:p w14:paraId="650B896D" w14:textId="77777777" w:rsidR="00F57997" w:rsidRPr="00F57997" w:rsidRDefault="00D752AD" w:rsidP="00F57997">
      <w:pPr>
        <w:jc w:val="both"/>
      </w:pPr>
      <w:r>
        <w:pict w14:anchorId="3FB76F93">
          <v:rect id="_x0000_i1025" style="width:0;height:1.5pt" o:hralign="center" o:hrstd="t" o:hr="t" fillcolor="#a0a0a0" stroked="f"/>
        </w:pict>
      </w:r>
    </w:p>
    <w:p w14:paraId="06A41A0E" w14:textId="77777777" w:rsidR="00F57997" w:rsidRPr="00F57997" w:rsidRDefault="00F57997" w:rsidP="00F57997">
      <w:pPr>
        <w:jc w:val="both"/>
        <w:rPr>
          <w:b/>
          <w:bCs/>
        </w:rPr>
      </w:pPr>
      <w:r w:rsidRPr="00F57997">
        <w:rPr>
          <w:b/>
          <w:bCs/>
        </w:rPr>
        <w:t>1. Problema Central: Simultaneidade na Estimação de Funções de Produção</w:t>
      </w:r>
    </w:p>
    <w:p w14:paraId="60883D70" w14:textId="77777777" w:rsidR="00F57997" w:rsidRPr="00F57997" w:rsidRDefault="00F57997" w:rsidP="00F57997">
      <w:pPr>
        <w:jc w:val="both"/>
      </w:pPr>
      <w:r w:rsidRPr="00F57997">
        <w:t>O ponto de partida do artigo é clássico em econometria de produção: ao estimar uma função de produção por MQO, os coeficientes são inconsistentes porque os insumos são escolhidos pela firma em resposta a um choque de produtividade não observado pelo econometrista. Formalmente, escreve-se a função de produção em logs como:</w:t>
      </w:r>
    </w:p>
    <w:p w14:paraId="65A9CDEC" w14:textId="0184B48F" w:rsidR="00F57997" w:rsidRPr="00F57997" w:rsidRDefault="00D752AD" w:rsidP="00F57997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br/>
          </m:r>
        </m:oMath>
      </m:oMathPara>
    </w:p>
    <w:p w14:paraId="3E4DC794" w14:textId="7EF68ED2" w:rsidR="00F57997" w:rsidRPr="00F57997" w:rsidRDefault="00F57997" w:rsidP="00F57997">
      <w:pPr>
        <w:jc w:val="both"/>
      </w:pPr>
      <w:r w:rsidRPr="00F57997">
        <w:t xml:space="preserve">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57997">
        <w:t xml:space="preserve">é a componente transmitida da produtividade (estado da firma, observada por ela, não pelo econometrista)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57997">
        <w:t xml:space="preserve">é um choque i.i.d. não correlacionado com as escolhas de insumos. O problema de simultaneidade surge porque </w:t>
      </w:r>
      <m:oMath>
        <m:r>
          <m:rPr>
            <m:nor/>
          </m:rPr>
          <m:t>Cov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F57997">
        <w:t xml:space="preserve">: firmas com maior choque de produtividade contratam mais trabalho. O MQO então superestima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F57997">
        <w:t xml:space="preserve">e tende a subestimar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F57997">
        <w:t xml:space="preserve">. </w:t>
      </w:r>
    </w:p>
    <w:p w14:paraId="48EE415F" w14:textId="18F81885" w:rsidR="00F57997" w:rsidRPr="00F57997" w:rsidRDefault="00F57997" w:rsidP="00F57997">
      <w:pPr>
        <w:jc w:val="both"/>
      </w:pPr>
      <w:r w:rsidRPr="00F57997">
        <w:t xml:space="preserve">Para um caso com dois insumos (trabalho livre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57997">
        <w:t xml:space="preserve">e capital quasi-fixo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57997">
        <w:t xml:space="preserve">), os autores mostram explicitamente que: </w:t>
      </w:r>
    </w:p>
    <w:p w14:paraId="774EB3B9" w14:textId="6121F007" w:rsidR="00F57997" w:rsidRPr="00F57997" w:rsidRDefault="00D752AD" w:rsidP="00F57997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k,k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l,ϵ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l,k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k,ϵ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l,l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k,k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l,k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br/>
          </m:r>
        </m:oMath>
      </m:oMathPara>
    </w:p>
    <w:p w14:paraId="2151B4B9" w14:textId="4DD290A7" w:rsidR="00F57997" w:rsidRPr="00F57997" w:rsidRDefault="00F57997" w:rsidP="00F57997">
      <w:pPr>
        <w:jc w:val="both"/>
      </w:pPr>
      <w:r w:rsidRPr="00F57997">
        <w:t xml:space="preserve">O viés depende das covariâncias entre os insumos e o choque. No caso mais típico, onde só o trabalho responde ao choque e capital e trabalho são positivamente correlacionados,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F57997">
        <w:t xml:space="preserve">superestima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F57997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F57997">
        <w:t xml:space="preserve">subestima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F57997">
        <w:t xml:space="preserve">. </w:t>
      </w:r>
    </w:p>
    <w:p w14:paraId="568EE211" w14:textId="77777777" w:rsidR="00F57997" w:rsidRPr="00F57997" w:rsidRDefault="00D752AD" w:rsidP="00F57997">
      <w:pPr>
        <w:jc w:val="both"/>
      </w:pPr>
      <w:r>
        <w:pict w14:anchorId="7B4027E0">
          <v:rect id="_x0000_i1026" style="width:0;height:1.5pt" o:hralign="center" o:hrstd="t" o:hr="t" fillcolor="#a0a0a0" stroked="f"/>
        </w:pict>
      </w:r>
    </w:p>
    <w:p w14:paraId="42837D3E" w14:textId="77777777" w:rsidR="00F57997" w:rsidRPr="00F57997" w:rsidRDefault="00F57997" w:rsidP="00F57997">
      <w:pPr>
        <w:jc w:val="both"/>
        <w:rPr>
          <w:b/>
          <w:bCs/>
        </w:rPr>
      </w:pPr>
      <w:r w:rsidRPr="00F57997">
        <w:rPr>
          <w:b/>
          <w:bCs/>
        </w:rPr>
        <w:t>2. A Solução de Olley-Pakes (1996) e sua Limitação</w:t>
      </w:r>
    </w:p>
    <w:p w14:paraId="49688FE9" w14:textId="4C398C26" w:rsidR="00F57997" w:rsidRPr="00F57997" w:rsidRDefault="00F57997" w:rsidP="00F57997">
      <w:pPr>
        <w:jc w:val="both"/>
      </w:pPr>
      <w:r w:rsidRPr="00F57997">
        <w:t xml:space="preserve">O artigo é construído sobre a solução seminalproposta por Olley &amp; Pakes (1996), que usam o investimento como variável proxy para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57997">
        <w:t xml:space="preserve">. A intuição é: se firmas com maior produtividade investem mais (condição de monotonicidade), então o investimento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57997">
        <w:t xml:space="preserve">é função crescente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57997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57997">
        <w:t xml:space="preserve">, permitindo inverter a relação para obter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F57997">
        <w:t xml:space="preserve">. Substituindo na função de produção, absorve-se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57997">
        <w:t xml:space="preserve">numa função não-paramétrica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F57997">
        <w:t xml:space="preserve">, cujos coeficientes são estimados de forma semiparamétrica. </w:t>
      </w:r>
    </w:p>
    <w:p w14:paraId="4B65B60F" w14:textId="3A40AF35" w:rsidR="00F57997" w:rsidRPr="00F57997" w:rsidRDefault="00F57997" w:rsidP="00F57997">
      <w:pPr>
        <w:jc w:val="both"/>
      </w:pPr>
      <w:r w:rsidRPr="00F57997">
        <w:lastRenderedPageBreak/>
        <w:t xml:space="preserve">A limitação central que LP identificam: o investimento frequentemente reporta valor zero. Em dados de firmas manufatureiras de países em desenvolvimento (como Chile), mais de 50% das observações têm investimento zero, tornando o proxy de OP inválido para essa subsample (a condição de invertibilidade não vale quando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=0</m:t>
        </m:r>
      </m:oMath>
      <w:r w:rsidRPr="00F57997">
        <w:t xml:space="preserve">). Na amostra chilena usada pelos autores, apenas cerca de 40-45% das firmas reportam investimento positivo em cada período. </w:t>
      </w:r>
    </w:p>
    <w:p w14:paraId="1806442E" w14:textId="77777777" w:rsidR="00F57997" w:rsidRPr="00F57997" w:rsidRDefault="00D752AD" w:rsidP="00F57997">
      <w:pPr>
        <w:jc w:val="both"/>
      </w:pPr>
      <w:r>
        <w:pict w14:anchorId="6746B588">
          <v:rect id="_x0000_i1027" style="width:0;height:1.5pt" o:hralign="center" o:hrstd="t" o:hr="t" fillcolor="#a0a0a0" stroked="f"/>
        </w:pict>
      </w:r>
    </w:p>
    <w:p w14:paraId="43724D50" w14:textId="77777777" w:rsidR="00F57997" w:rsidRPr="00F57997" w:rsidRDefault="00F57997" w:rsidP="00F57997">
      <w:pPr>
        <w:jc w:val="both"/>
        <w:rPr>
          <w:b/>
          <w:bCs/>
        </w:rPr>
      </w:pPr>
      <w:r w:rsidRPr="00F57997">
        <w:rPr>
          <w:b/>
          <w:bCs/>
        </w:rPr>
        <w:t>3. A Contribuição Central: Insumos Intermediários como Proxy</w:t>
      </w:r>
    </w:p>
    <w:p w14:paraId="130CBD2C" w14:textId="44D9CC46" w:rsidR="00F57997" w:rsidRPr="00F57997" w:rsidRDefault="00F57997" w:rsidP="00F57997">
      <w:pPr>
        <w:jc w:val="both"/>
      </w:pPr>
      <w:r w:rsidRPr="00F57997">
        <w:t xml:space="preserve">LP propõem substituir o investimento por um insumo intermediário (materiais, energia, eletricidade) como proxy para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57997">
        <w:t xml:space="preserve">. O modelo é estendido para incluir o insumo intermediário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ι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57997">
        <w:t xml:space="preserve">(materiais ou eletricidade) na função de produção: </w:t>
      </w:r>
    </w:p>
    <w:p w14:paraId="6AC202EB" w14:textId="15A66B7A" w:rsidR="00F57997" w:rsidRPr="00F57997" w:rsidRDefault="00D752AD" w:rsidP="00F57997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ι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ι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br/>
          </m:r>
        </m:oMath>
      </m:oMathPara>
    </w:p>
    <w:p w14:paraId="2FF6EB95" w14:textId="6D72DBFC" w:rsidR="00F57997" w:rsidRPr="00F57997" w:rsidRDefault="00F57997" w:rsidP="00F57997">
      <w:pPr>
        <w:jc w:val="both"/>
      </w:pPr>
      <w:r w:rsidRPr="00F57997">
        <w:t xml:space="preserve">A firma escolhe o insumo intermediário segundo uma função de demanda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ι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ι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F57997">
        <w:t xml:space="preserve">. Para que a inversão seja possível, essa função deve ser monotônica 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57997">
        <w:t xml:space="preserve">(condicional 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57997">
        <w:t xml:space="preserve">). Os autores derivam a condição analítica de monotonicidade a partir do problema da firma. Para uma função de produção genérica </w:t>
      </w:r>
      <m:oMath>
        <m:r>
          <w:rPr>
            <w:rFonts w:ascii="Cambria Math" w:hAnsi="Cambria Math"/>
          </w:rPr>
          <m:t>f(⋅)</m:t>
        </m:r>
      </m:oMath>
      <w:r w:rsidRPr="00F57997">
        <w:t xml:space="preserve">, o sinal de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ι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ω</m:t>
        </m:r>
      </m:oMath>
      <w:r w:rsidRPr="00F57997">
        <w:t xml:space="preserve">é dado por: </w:t>
      </w:r>
    </w:p>
    <w:p w14:paraId="2EB8706C" w14:textId="015D953B" w:rsidR="00F57997" w:rsidRPr="00F57997" w:rsidRDefault="00F57997" w:rsidP="00F57997">
      <w:pPr>
        <w:jc w:val="both"/>
        <w:rPr>
          <w:lang w:val="en-US"/>
        </w:rPr>
      </w:pPr>
      <m:oMathPara>
        <m:oMath>
          <m:r>
            <m:rPr>
              <m:nor/>
            </m:rPr>
            <w:rPr>
              <w:lang w:val="en-US"/>
            </w:rPr>
            <m:t>sign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</w:rPr>
                    <m:t>ι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</w:rPr>
                    <m:t>ω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lang w:val="en-US"/>
            </w:rPr>
            <m:t>sign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lω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ll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iω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r>
            <w:rPr>
              <w:lang w:val="en-US"/>
            </w:rPr>
            <w:br/>
          </m:r>
        </m:oMath>
      </m:oMathPara>
    </w:p>
    <w:p w14:paraId="74BDA909" w14:textId="446A12D1" w:rsidR="00F57997" w:rsidRPr="00F57997" w:rsidRDefault="00F57997" w:rsidP="00F57997">
      <w:pPr>
        <w:jc w:val="both"/>
      </w:pPr>
      <w:r w:rsidRPr="00F57997">
        <w:t xml:space="preserve">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ll</m:t>
            </m:r>
          </m:sub>
        </m:sSub>
        <m:r>
          <w:rPr>
            <w:rFonts w:ascii="Cambria Math" w:hAnsi="Cambria Math"/>
          </w:rPr>
          <m:t>&lt;0</m:t>
        </m:r>
      </m:oMath>
      <w:r w:rsidRPr="00F57997">
        <w:t>por comportamento otimizador (produto marginal do trabalho decrescente) e, se a produtividade aumenta o produto marginal dos insumos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iω</m:t>
            </m:r>
          </m:sub>
        </m:sSub>
        <m:r>
          <w:rPr>
            <w:rFonts w:ascii="Cambria Math" w:hAnsi="Cambria Math"/>
          </w:rPr>
          <m:t>≥0</m:t>
        </m:r>
      </m:oMath>
      <w:r w:rsidRPr="00F57997">
        <w:t xml:space="preserve">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lω</m:t>
            </m:r>
          </m:sub>
        </m:sSub>
        <m:r>
          <w:rPr>
            <w:rFonts w:ascii="Cambria Math" w:hAnsi="Cambria Math"/>
          </w:rPr>
          <m:t>≥0</m:t>
        </m:r>
      </m:oMath>
      <w:r w:rsidRPr="00F57997">
        <w:t xml:space="preserve">), a condição se satisfaz. Crucialmente, os autores mostram que essa condição é compatível com tecnologias Cobb-Douglas e CES, facilitando a verificação empírica. </w:t>
      </w:r>
    </w:p>
    <w:p w14:paraId="2B0ABB40" w14:textId="77777777" w:rsidR="00F57997" w:rsidRPr="00F57997" w:rsidRDefault="00F57997" w:rsidP="00F57997">
      <w:pPr>
        <w:jc w:val="both"/>
      </w:pPr>
      <w:r w:rsidRPr="00F57997">
        <w:t>A vantagem prática é imediata: materiais e eletricidade são reportados com valores positivos em 99% das observações na amostra chilena, eliminando o problema de truncamento que afeta o proxy de OP.</w:t>
      </w:r>
    </w:p>
    <w:p w14:paraId="55BE5F30" w14:textId="77777777" w:rsidR="00F57997" w:rsidRPr="00F57997" w:rsidRDefault="00D752AD" w:rsidP="00F57997">
      <w:pPr>
        <w:jc w:val="both"/>
      </w:pPr>
      <w:r>
        <w:pict w14:anchorId="1EAF17AC">
          <v:rect id="_x0000_i1028" style="width:0;height:1.5pt" o:hralign="center" o:hrstd="t" o:hr="t" fillcolor="#a0a0a0" stroked="f"/>
        </w:pict>
      </w:r>
    </w:p>
    <w:p w14:paraId="0356A595" w14:textId="77777777" w:rsidR="00F57997" w:rsidRPr="00F57997" w:rsidRDefault="00F57997" w:rsidP="00F57997">
      <w:pPr>
        <w:jc w:val="both"/>
        <w:rPr>
          <w:b/>
          <w:bCs/>
        </w:rPr>
      </w:pPr>
      <w:r w:rsidRPr="00F57997">
        <w:rPr>
          <w:b/>
          <w:bCs/>
        </w:rPr>
        <w:t>4. O Estimador em Dois Estágios</w:t>
      </w:r>
    </w:p>
    <w:p w14:paraId="2E1B033F" w14:textId="77777777" w:rsidR="00F57997" w:rsidRPr="00F57997" w:rsidRDefault="00F57997" w:rsidP="00F57997">
      <w:pPr>
        <w:jc w:val="both"/>
        <w:rPr>
          <w:b/>
          <w:bCs/>
        </w:rPr>
      </w:pPr>
      <w:r w:rsidRPr="00F57997">
        <w:rPr>
          <w:b/>
          <w:bCs/>
        </w:rPr>
        <w:t>Primeiro estágio</w:t>
      </w:r>
    </w:p>
    <w:p w14:paraId="5D58519D" w14:textId="64A2AD38" w:rsidR="00F57997" w:rsidRPr="00F57997" w:rsidRDefault="00F57997" w:rsidP="00F57997">
      <w:pPr>
        <w:jc w:val="both"/>
      </w:pPr>
      <w:r w:rsidRPr="00F57997">
        <w:t xml:space="preserve">Aproveitando a invertibilidade, escreve-se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ι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F57997">
        <w:t xml:space="preserve">e reescreve-se a equação de produção como: </w:t>
      </w:r>
    </w:p>
    <w:p w14:paraId="203FEA0D" w14:textId="384E30D2" w:rsidR="00F57997" w:rsidRPr="00F57997" w:rsidRDefault="00D752AD" w:rsidP="00F57997">
      <w:pPr>
        <w:jc w:val="both"/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s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u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  <m:e/>
              <m:e>
                <m:r>
                  <m:rPr>
                    <m:nor/>
                  </m:rPr>
                  <m:t>(11)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4F02AB6B" w14:textId="4393A22C" w:rsidR="00F57997" w:rsidRPr="00F57997" w:rsidRDefault="00F57997" w:rsidP="00F57997">
      <w:pPr>
        <w:jc w:val="both"/>
      </w:pPr>
      <w:r w:rsidRPr="00F57997">
        <w:t xml:space="preserve">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F57997">
        <w:t xml:space="preserve">absorve os termos não-paramétricos. O estimador do primeiro estágio identifica os coeficientes dos insumos livres (trabalho qualificado e não qualificado, eletricidade, combustíveis) subtraindo as médias condicionais em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F57997">
        <w:t xml:space="preserve">, em abordagem não-paramétrica via regressão local ponderada (localmente quadrática). Formalmente: </w:t>
      </w:r>
    </w:p>
    <w:p w14:paraId="347718A4" w14:textId="4E2C5D12" w:rsidR="00F57997" w:rsidRPr="00F57997" w:rsidRDefault="00D752AD" w:rsidP="00F57997">
      <w:pPr>
        <w:jc w:val="both"/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-E[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]=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s</m:t>
                    </m:r>
                  </m:sup>
                </m:sSubSup>
                <m:r>
                  <w:rPr>
                    <w:rFonts w:ascii="Cambria Math" w:hAnsi="Cambria Math"/>
                  </w:rPr>
                  <m:t>-E[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s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])+…+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  <m:e/>
              <m:e>
                <m:r>
                  <m:rPr>
                    <m:nor/>
                  </m:rPr>
                  <m:t>(12)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57F90D37" w14:textId="77777777" w:rsidR="00F57997" w:rsidRPr="00F57997" w:rsidRDefault="00F57997" w:rsidP="00F57997">
      <w:pPr>
        <w:jc w:val="both"/>
      </w:pPr>
      <w:r w:rsidRPr="00F57997">
        <w:t>No-intercept MQO nessa equação fornece estimativas consistentes dos coeficientes dos insumos livres.</w:t>
      </w:r>
    </w:p>
    <w:p w14:paraId="087CD552" w14:textId="77777777" w:rsidR="00F57997" w:rsidRPr="00F57997" w:rsidRDefault="00F57997" w:rsidP="00F57997">
      <w:pPr>
        <w:jc w:val="both"/>
        <w:rPr>
          <w:b/>
          <w:bCs/>
        </w:rPr>
      </w:pPr>
      <w:r w:rsidRPr="00F57997">
        <w:rPr>
          <w:b/>
          <w:bCs/>
        </w:rPr>
        <w:t>Segundo estágio</w:t>
      </w:r>
    </w:p>
    <w:p w14:paraId="38105234" w14:textId="65695FE5" w:rsidR="00F57997" w:rsidRPr="00F57997" w:rsidRDefault="00F57997" w:rsidP="00F57997">
      <w:pPr>
        <w:jc w:val="both"/>
      </w:pPr>
      <w:r w:rsidRPr="00F57997">
        <w:t xml:space="preserve">O segundo estágio identifica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F57997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F57997">
        <w:t xml:space="preserve">usando dois conjuntos de condições de momento. A lógica é que capital não responde à inovação de produtividade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-E[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]</m:t>
        </m:r>
      </m:oMath>
      <w:r w:rsidRPr="00F57997">
        <w:t xml:space="preserve">dentro do período (quasi-fixo), e materiais defasados tampouco respondem à inovação corrente. Os momentos são: </w:t>
      </w:r>
    </w:p>
    <w:p w14:paraId="652E5D32" w14:textId="5768B2B9" w:rsidR="00F57997" w:rsidRPr="00F57997" w:rsidRDefault="00D752AD" w:rsidP="00F57997">
      <w:pPr>
        <w:jc w:val="both"/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E[(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]=E[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]=0</m:t>
                </m:r>
              </m:e>
              <m:e/>
              <m:e>
                <m:r>
                  <m:rPr>
                    <m:nor/>
                  </m:rPr>
                  <m:t>(13)</m:t>
                </m:r>
              </m:e>
            </m:mr>
          </m:m>
          <m:r>
            <m:rPr>
              <m:sty m:val="p"/>
            </m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E[(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t-1</m:t>
                    </m:r>
                  </m:sub>
                </m:sSub>
                <m:r>
                  <w:rPr>
                    <w:rFonts w:ascii="Cambria Math" w:hAnsi="Cambria Math"/>
                  </w:rPr>
                  <m:t>]=E[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t-1</m:t>
                    </m:r>
                  </m:sub>
                </m:sSub>
                <m:r>
                  <w:rPr>
                    <w:rFonts w:ascii="Cambria Math" w:hAnsi="Cambria Math"/>
                  </w:rPr>
                  <m:t>]=0</m:t>
                </m:r>
              </m:e>
              <m:e/>
              <m:e>
                <m:r>
                  <m:rPr>
                    <m:nor/>
                  </m:rPr>
                  <m:t>(14)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3EBA2BDE" w14:textId="2955DE44" w:rsidR="00F57997" w:rsidRPr="00F57997" w:rsidRDefault="00F57997" w:rsidP="00F57997">
      <w:pPr>
        <w:jc w:val="both"/>
      </w:pPr>
      <w:r w:rsidRPr="00F57997">
        <w:t xml:space="preserve">Para construir o resíduo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)</m:t>
        </m:r>
      </m:oMath>
      <w:r w:rsidRPr="00F57997">
        <w:t xml:space="preserve">para candidatos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)</m:t>
        </m:r>
      </m:oMath>
      <w:r w:rsidRPr="00F57997">
        <w:t xml:space="preserve">, utiliza-se: </w:t>
      </w:r>
    </w:p>
    <w:p w14:paraId="0731C249" w14:textId="2D88AA59" w:rsidR="00F57997" w:rsidRPr="00F57997" w:rsidRDefault="00D752AD" w:rsidP="00F57997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-E[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]</m:t>
          </m:r>
          <m:r>
            <w:br/>
          </m:r>
        </m:oMath>
      </m:oMathPara>
    </w:p>
    <w:p w14:paraId="1AF72DCF" w14:textId="77777777" w:rsidR="00F57997" w:rsidRPr="00F57997" w:rsidRDefault="00F57997" w:rsidP="00F57997">
      <w:pPr>
        <w:jc w:val="both"/>
      </w:pPr>
      <w:r w:rsidRPr="00F57997">
        <w:t>O estimador GMM minimiza a função critério:</w:t>
      </w:r>
    </w:p>
    <w:p w14:paraId="17A51606" w14:textId="41B149DD" w:rsidR="00F57997" w:rsidRPr="00F57997" w:rsidRDefault="00D752AD" w:rsidP="00F57997">
      <w:pPr>
        <w:jc w:val="both"/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Q(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)=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</m:e>
                  <m:li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lim>
                </m:limLow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h=1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grow m:val="1"/>
                                <m:sup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  <m:sup/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grow m:val="1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t=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i0</m:t>
                                        </m:r>
                                      </m:sub>
                                    </m:sSub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i1</m:t>
                                        </m:r>
                                      </m:sub>
                                    </m:sSub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</m:e>
                                </m:nary>
                              </m:e>
                            </m:nary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ξ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i,t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η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i,t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))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i,ht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e>
              <m:e/>
              <m:e>
                <m:r>
                  <m:rPr>
                    <m:nor/>
                  </m:rPr>
                  <m:t>(15)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334AA405" w14:textId="421605BC" w:rsidR="00F57997" w:rsidRPr="00F57997" w:rsidRDefault="00F57997" w:rsidP="00F57997">
      <w:pPr>
        <w:jc w:val="both"/>
      </w:pPr>
      <w:r w:rsidRPr="00F57997">
        <w:t xml:space="preserve">com oito instrumentos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t-1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t-1</m:t>
            </m:r>
          </m:sub>
          <m:sup>
            <m:r>
              <w:rPr>
                <w:rFonts w:ascii="Cambria Math" w:hAnsi="Cambria Math"/>
              </w:rPr>
              <m:t>u</m:t>
            </m:r>
          </m:sup>
        </m:sSub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t-2</m:t>
            </m:r>
          </m:sub>
        </m:sSub>
        <m:r>
          <w:rPr>
            <w:rFonts w:ascii="Cambria Math" w:hAnsi="Cambria Math"/>
          </w:rPr>
          <m:t>}</m:t>
        </m:r>
      </m:oMath>
      <w:r w:rsidRPr="00F57997">
        <w:t xml:space="preserve">, incluindo as seis condições de sobre-identificação. Inferência é feita por bootstrap (reamostrado por firma). </w:t>
      </w:r>
    </w:p>
    <w:p w14:paraId="5183245D" w14:textId="77777777" w:rsidR="00F57997" w:rsidRPr="00F57997" w:rsidRDefault="00D752AD" w:rsidP="00F57997">
      <w:pPr>
        <w:jc w:val="both"/>
      </w:pPr>
      <w:r>
        <w:pict w14:anchorId="3E2BDF3A">
          <v:rect id="_x0000_i1029" style="width:0;height:1.5pt" o:hralign="center" o:hrstd="t" o:hr="t" fillcolor="#a0a0a0" stroked="f"/>
        </w:pict>
      </w:r>
    </w:p>
    <w:p w14:paraId="2F16E7BE" w14:textId="77777777" w:rsidR="00F57997" w:rsidRPr="00F57997" w:rsidRDefault="00F57997" w:rsidP="00F57997">
      <w:pPr>
        <w:jc w:val="both"/>
        <w:rPr>
          <w:b/>
          <w:bCs/>
        </w:rPr>
      </w:pPr>
      <w:r w:rsidRPr="00F57997">
        <w:rPr>
          <w:b/>
          <w:bCs/>
        </w:rPr>
        <w:t>5. Testes de Especificação</w:t>
      </w:r>
    </w:p>
    <w:p w14:paraId="1CC52357" w14:textId="77777777" w:rsidR="00F57997" w:rsidRPr="00F57997" w:rsidRDefault="00F57997" w:rsidP="00F57997">
      <w:pPr>
        <w:jc w:val="both"/>
      </w:pPr>
      <w:r w:rsidRPr="00F57997">
        <w:t>LP propõem três testes de especificação para avaliar a qualidade do proxy:</w:t>
      </w:r>
    </w:p>
    <w:p w14:paraId="51E986BD" w14:textId="46ED8A8C" w:rsidR="00F57997" w:rsidRPr="00F57997" w:rsidRDefault="00F57997" w:rsidP="00F57997">
      <w:pPr>
        <w:numPr>
          <w:ilvl w:val="0"/>
          <w:numId w:val="21"/>
        </w:numPr>
        <w:jc w:val="both"/>
      </w:pPr>
      <w:r w:rsidRPr="00F57997">
        <w:rPr>
          <w:b/>
          <w:bCs/>
        </w:rPr>
        <w:lastRenderedPageBreak/>
        <w:t>Teste gráfico de monotonicidade</w:t>
      </w:r>
      <w:r w:rsidRPr="00F57997">
        <w:t xml:space="preserve">: plotar o proxy contra suas variáveis explicativas e verificar empiricamente se a relação é crescente em </w:t>
      </w:r>
      <m:oMath>
        <m:r>
          <w:rPr>
            <w:rFonts w:ascii="Cambria Math" w:hAnsi="Cambria Math"/>
          </w:rPr>
          <m:t>ω</m:t>
        </m:r>
      </m:oMath>
      <w:r w:rsidRPr="00F57997">
        <w:t xml:space="preserve">(condicional em </w:t>
      </w:r>
      <m:oMath>
        <m:r>
          <w:rPr>
            <w:rFonts w:ascii="Cambria Math" w:hAnsi="Cambria Math"/>
          </w:rPr>
          <m:t>k</m:t>
        </m:r>
      </m:oMath>
      <w:r w:rsidRPr="00F57997">
        <w:t xml:space="preserve">). </w:t>
      </w:r>
    </w:p>
    <w:p w14:paraId="06E2DB1A" w14:textId="00CBA886" w:rsidR="00F57997" w:rsidRPr="00F57997" w:rsidRDefault="00F57997" w:rsidP="00F57997">
      <w:pPr>
        <w:numPr>
          <w:ilvl w:val="0"/>
          <w:numId w:val="21"/>
        </w:numPr>
        <w:jc w:val="both"/>
      </w:pPr>
      <w:r w:rsidRPr="00F57997">
        <w:rPr>
          <w:b/>
          <w:bCs/>
        </w:rPr>
        <w:t>Teste de consistência entre proxies alternativos</w:t>
      </w:r>
      <w:r w:rsidRPr="00F57997">
        <w:t xml:space="preserve">: se materiais e eletricidade forem proxies válidos para o mesmo fator </w:t>
      </w:r>
      <m:oMath>
        <m:r>
          <w:rPr>
            <w:rFonts w:ascii="Cambria Math" w:hAnsi="Cambria Math"/>
          </w:rPr>
          <m:t>ω</m:t>
        </m:r>
      </m:oMath>
      <w:r w:rsidRPr="00F57997">
        <w:t xml:space="preserve">, os coeficientes estimados com cada um deveriam ser iguais. Rejeitar essa igualdade indica problema em pelo menos um dos proxies. </w:t>
      </w:r>
    </w:p>
    <w:p w14:paraId="47FC3123" w14:textId="132FC89D" w:rsidR="00F57997" w:rsidRPr="00F57997" w:rsidRDefault="00F57997" w:rsidP="00F57997">
      <w:pPr>
        <w:numPr>
          <w:ilvl w:val="0"/>
          <w:numId w:val="21"/>
        </w:numPr>
        <w:jc w:val="both"/>
      </w:pPr>
      <w:r w:rsidRPr="00F57997">
        <w:rPr>
          <w:b/>
          <w:bCs/>
        </w:rPr>
        <w:t>Teste de exclusão / condições de sobre-identificação</w:t>
      </w:r>
      <w:r w:rsidRPr="00F57997">
        <w:t xml:space="preserve">: inspirado em OP, o trabalho no período corrente não deveria ser correlacionado com a inovação de produtividade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F57997">
        <w:t xml:space="preserve">no período seguinte. Os autores estendem isso a todos os seis insumos, gerando seis condições de sobre-identificação que são testadas formalmente. </w:t>
      </w:r>
    </w:p>
    <w:p w14:paraId="30F5EA80" w14:textId="77777777" w:rsidR="00F57997" w:rsidRPr="00F57997" w:rsidRDefault="00D752AD" w:rsidP="00F57997">
      <w:pPr>
        <w:jc w:val="both"/>
      </w:pPr>
      <w:r>
        <w:pict w14:anchorId="341F8153">
          <v:rect id="_x0000_i1030" style="width:0;height:1.5pt" o:hralign="center" o:hrstd="t" o:hr="t" fillcolor="#a0a0a0" stroked="f"/>
        </w:pict>
      </w:r>
    </w:p>
    <w:p w14:paraId="653201B8" w14:textId="77777777" w:rsidR="00F57997" w:rsidRPr="00F57997" w:rsidRDefault="00F57997" w:rsidP="00F57997">
      <w:pPr>
        <w:jc w:val="both"/>
        <w:rPr>
          <w:b/>
          <w:bCs/>
        </w:rPr>
      </w:pPr>
      <w:r w:rsidRPr="00F57997">
        <w:rPr>
          <w:b/>
          <w:bCs/>
        </w:rPr>
        <w:t>6. Dados e Aplicação</w:t>
      </w:r>
    </w:p>
    <w:p w14:paraId="4A78EC26" w14:textId="77777777" w:rsidR="00F57997" w:rsidRPr="00F57997" w:rsidRDefault="00F57997" w:rsidP="00F57997">
      <w:pPr>
        <w:jc w:val="both"/>
      </w:pPr>
      <w:r w:rsidRPr="00F57997">
        <w:t>A aplicação empírica usa um painel de 8 anos (1979–1986) de firmas manufatureiras chilenas, cobrindo 6.665 plantas com pelo menos 10 empregados, de quatro indústrias de 3 dígitos: alimentos (311), metais (381), têxteis (321) e produtos de madeira (331). O capital é construído por perpetual inventory com taxas de depreciação diferenciadas para edificações (5%), máquinas (10%) e veículos (20%).</w:t>
      </w:r>
    </w:p>
    <w:p w14:paraId="1C0854C2" w14:textId="77777777" w:rsidR="00F57997" w:rsidRPr="00F57997" w:rsidRDefault="00D752AD" w:rsidP="00F57997">
      <w:pPr>
        <w:jc w:val="both"/>
      </w:pPr>
      <w:r>
        <w:pict w14:anchorId="37B10B0B">
          <v:rect id="_x0000_i1031" style="width:0;height:1.5pt" o:hralign="center" o:hrstd="t" o:hr="t" fillcolor="#a0a0a0" stroked="f"/>
        </w:pict>
      </w:r>
    </w:p>
    <w:p w14:paraId="06A85FFC" w14:textId="77777777" w:rsidR="00F57997" w:rsidRPr="00F57997" w:rsidRDefault="00F57997" w:rsidP="00F57997">
      <w:pPr>
        <w:jc w:val="both"/>
        <w:rPr>
          <w:b/>
          <w:bCs/>
        </w:rPr>
      </w:pPr>
      <w:r w:rsidRPr="00F57997">
        <w:rPr>
          <w:b/>
          <w:bCs/>
        </w:rPr>
        <w:t>7. Principais Resultados</w:t>
      </w:r>
    </w:p>
    <w:p w14:paraId="0477014B" w14:textId="46444862" w:rsidR="00F57997" w:rsidRPr="00F57997" w:rsidRDefault="00F57997" w:rsidP="00F57997">
      <w:pPr>
        <w:jc w:val="both"/>
      </w:pPr>
      <w:r w:rsidRPr="00F57997">
        <w:t xml:space="preserve">Comparando MQO, efeitos fixos, GMM tipo Blundell-Bond (1998), estimador OP com proxy de investimento, e o estimador LP com proxy de materiais/eletricidade, os autores encontram diferenças quantitativamente expressivas e direcionalmente consistentes com a teoria. O estimador LP produz coeficientes de capital maiores e coeficientes de trabalho menores do que o MQO, confirmando que o viés de simultaneidade infla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F57997">
        <w:t xml:space="preserve">e deflaciona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F57997">
        <w:t xml:space="preserve">. Nos testes de especificação, materiais e eletricidade frequentemente produzem estimativas estatisticamente indistinguíveis, corroborando a interpretação de que capturam o mesmo choque latente de produtividade. </w:t>
      </w:r>
    </w:p>
    <w:p w14:paraId="64795D4E" w14:textId="77777777" w:rsidR="00F57997" w:rsidRPr="00F57997" w:rsidRDefault="00D752AD" w:rsidP="00F57997">
      <w:pPr>
        <w:jc w:val="both"/>
      </w:pPr>
      <w:r>
        <w:pict w14:anchorId="1E018030">
          <v:rect id="_x0000_i1032" style="width:0;height:1.5pt" o:hralign="center" o:hrstd="t" o:hr="t" fillcolor="#a0a0a0" stroked="f"/>
        </w:pict>
      </w:r>
    </w:p>
    <w:p w14:paraId="1EFD68FB" w14:textId="77777777" w:rsidR="00F57997" w:rsidRPr="00F57997" w:rsidRDefault="00F57997" w:rsidP="00F57997">
      <w:pPr>
        <w:jc w:val="both"/>
        <w:rPr>
          <w:b/>
          <w:bCs/>
        </w:rPr>
      </w:pPr>
      <w:r w:rsidRPr="00F57997">
        <w:rPr>
          <w:b/>
          <w:bCs/>
        </w:rPr>
        <w:t>8. Contribuição Metodológica e Legado</w:t>
      </w:r>
    </w:p>
    <w:p w14:paraId="6E0F4437" w14:textId="4CF35461" w:rsidR="00CD0734" w:rsidRPr="00CD0734" w:rsidRDefault="00F57997" w:rsidP="006F7E3A">
      <w:pPr>
        <w:jc w:val="both"/>
      </w:pPr>
      <w:r w:rsidRPr="00F57997">
        <w:t xml:space="preserve">O artigo tornou-se um dos mais citados em econometria de produção precisamente por oferecer uma solução pragmática a um problema muito comum em dados de países em desenvolvimento: a alta frequência de zeros no </w:t>
      </w:r>
      <w:r w:rsidRPr="00F57997">
        <w:lastRenderedPageBreak/>
        <w:t>investimento que invalida o proxy de OP. A substituição por insumos intermediários, disponíveis de forma quase universal, generalizou o alcance dos estimadores semiparamétricos de função de produção. O estimador LP é hoje implementado em rotinas padrão no Stata (levpet) e R, e é ponto de comparação obrigatório em qualquer estudo de produtividade industrial baseado em dados de firma.</w:t>
      </w:r>
    </w:p>
    <w:sectPr w:rsidR="00CD0734" w:rsidRPr="00CD07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38B"/>
    <w:multiLevelType w:val="multilevel"/>
    <w:tmpl w:val="F83E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4061C"/>
    <w:multiLevelType w:val="multilevel"/>
    <w:tmpl w:val="32E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53104"/>
    <w:multiLevelType w:val="multilevel"/>
    <w:tmpl w:val="6AE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26F54"/>
    <w:multiLevelType w:val="multilevel"/>
    <w:tmpl w:val="9468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E6D6B"/>
    <w:multiLevelType w:val="multilevel"/>
    <w:tmpl w:val="026A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4724E"/>
    <w:multiLevelType w:val="multilevel"/>
    <w:tmpl w:val="BC0E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E9212D"/>
    <w:multiLevelType w:val="multilevel"/>
    <w:tmpl w:val="EAF0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433A22"/>
    <w:multiLevelType w:val="multilevel"/>
    <w:tmpl w:val="B11E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1A2FA5"/>
    <w:multiLevelType w:val="multilevel"/>
    <w:tmpl w:val="22B6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C2DC5"/>
    <w:multiLevelType w:val="multilevel"/>
    <w:tmpl w:val="42F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D5BE4"/>
    <w:multiLevelType w:val="multilevel"/>
    <w:tmpl w:val="150C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0503F1"/>
    <w:multiLevelType w:val="multilevel"/>
    <w:tmpl w:val="CFE4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61415"/>
    <w:multiLevelType w:val="multilevel"/>
    <w:tmpl w:val="2E42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70606"/>
    <w:multiLevelType w:val="multilevel"/>
    <w:tmpl w:val="8B2A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C3333"/>
    <w:multiLevelType w:val="multilevel"/>
    <w:tmpl w:val="B49E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E7C69"/>
    <w:multiLevelType w:val="multilevel"/>
    <w:tmpl w:val="3B12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C71CA"/>
    <w:multiLevelType w:val="multilevel"/>
    <w:tmpl w:val="683E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F3A24"/>
    <w:multiLevelType w:val="multilevel"/>
    <w:tmpl w:val="79F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2413F"/>
    <w:multiLevelType w:val="multilevel"/>
    <w:tmpl w:val="8F288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0478AB"/>
    <w:multiLevelType w:val="multilevel"/>
    <w:tmpl w:val="0A9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51C6C"/>
    <w:multiLevelType w:val="multilevel"/>
    <w:tmpl w:val="20C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246095">
    <w:abstractNumId w:val="20"/>
  </w:num>
  <w:num w:numId="2" w16cid:durableId="420641952">
    <w:abstractNumId w:val="13"/>
  </w:num>
  <w:num w:numId="3" w16cid:durableId="1473600929">
    <w:abstractNumId w:val="9"/>
  </w:num>
  <w:num w:numId="4" w16cid:durableId="1752894155">
    <w:abstractNumId w:val="17"/>
  </w:num>
  <w:num w:numId="5" w16cid:durableId="728500294">
    <w:abstractNumId w:val="1"/>
  </w:num>
  <w:num w:numId="6" w16cid:durableId="256912926">
    <w:abstractNumId w:val="12"/>
  </w:num>
  <w:num w:numId="7" w16cid:durableId="248272313">
    <w:abstractNumId w:val="4"/>
  </w:num>
  <w:num w:numId="8" w16cid:durableId="1625765398">
    <w:abstractNumId w:val="6"/>
  </w:num>
  <w:num w:numId="9" w16cid:durableId="370424167">
    <w:abstractNumId w:val="7"/>
  </w:num>
  <w:num w:numId="10" w16cid:durableId="752777771">
    <w:abstractNumId w:val="8"/>
  </w:num>
  <w:num w:numId="11" w16cid:durableId="355234556">
    <w:abstractNumId w:val="3"/>
  </w:num>
  <w:num w:numId="12" w16cid:durableId="132068978">
    <w:abstractNumId w:val="15"/>
  </w:num>
  <w:num w:numId="13" w16cid:durableId="522590920">
    <w:abstractNumId w:val="0"/>
  </w:num>
  <w:num w:numId="14" w16cid:durableId="895091077">
    <w:abstractNumId w:val="11"/>
  </w:num>
  <w:num w:numId="15" w16cid:durableId="725490230">
    <w:abstractNumId w:val="2"/>
  </w:num>
  <w:num w:numId="16" w16cid:durableId="1736271111">
    <w:abstractNumId w:val="19"/>
  </w:num>
  <w:num w:numId="17" w16cid:durableId="1948194251">
    <w:abstractNumId w:val="14"/>
  </w:num>
  <w:num w:numId="18" w16cid:durableId="740517095">
    <w:abstractNumId w:val="18"/>
  </w:num>
  <w:num w:numId="19" w16cid:durableId="694841311">
    <w:abstractNumId w:val="16"/>
  </w:num>
  <w:num w:numId="20" w16cid:durableId="742525666">
    <w:abstractNumId w:val="10"/>
  </w:num>
  <w:num w:numId="21" w16cid:durableId="1331447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49"/>
    <w:rsid w:val="00007B6C"/>
    <w:rsid w:val="000456B2"/>
    <w:rsid w:val="00085062"/>
    <w:rsid w:val="00107928"/>
    <w:rsid w:val="00234275"/>
    <w:rsid w:val="002B3729"/>
    <w:rsid w:val="00305F92"/>
    <w:rsid w:val="00362124"/>
    <w:rsid w:val="003C6A87"/>
    <w:rsid w:val="004934C7"/>
    <w:rsid w:val="00630942"/>
    <w:rsid w:val="00652375"/>
    <w:rsid w:val="006B7E4C"/>
    <w:rsid w:val="006F7E3A"/>
    <w:rsid w:val="007B0D78"/>
    <w:rsid w:val="007B5240"/>
    <w:rsid w:val="007E5916"/>
    <w:rsid w:val="00831A1F"/>
    <w:rsid w:val="008806F8"/>
    <w:rsid w:val="008D3628"/>
    <w:rsid w:val="009B17E4"/>
    <w:rsid w:val="00A17ECD"/>
    <w:rsid w:val="00A827CF"/>
    <w:rsid w:val="00AB053A"/>
    <w:rsid w:val="00B322D0"/>
    <w:rsid w:val="00B619C1"/>
    <w:rsid w:val="00C90810"/>
    <w:rsid w:val="00C92749"/>
    <w:rsid w:val="00CD0734"/>
    <w:rsid w:val="00CE50EA"/>
    <w:rsid w:val="00E03BE2"/>
    <w:rsid w:val="00E17EA5"/>
    <w:rsid w:val="00E34530"/>
    <w:rsid w:val="00F20327"/>
    <w:rsid w:val="00F57997"/>
    <w:rsid w:val="00F658AA"/>
    <w:rsid w:val="00FE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F01B5"/>
  <w15:chartTrackingRefBased/>
  <w15:docId w15:val="{B9909A75-C194-4A97-A375-CBFDA28A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92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2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92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92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27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27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27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27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27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27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27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27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27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2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27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2749"/>
    <w:rPr>
      <w:b/>
      <w:bCs/>
      <w:smallCaps/>
      <w:color w:val="0F4761" w:themeColor="accent1" w:themeShade="BF"/>
      <w:spacing w:val="5"/>
    </w:rPr>
  </w:style>
  <w:style w:type="table" w:styleId="TabelaSimples4">
    <w:name w:val="Plain Table 4"/>
    <w:basedOn w:val="Tabelanormal"/>
    <w:uiPriority w:val="44"/>
    <w:rsid w:val="003C6A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Normal"/>
    <w:rsid w:val="006F7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font-claude-response-body">
    <w:name w:val="font-claude-response-body"/>
    <w:basedOn w:val="Normal"/>
    <w:rsid w:val="006F7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F7E3A"/>
    <w:rPr>
      <w:b/>
      <w:bCs/>
    </w:rPr>
  </w:style>
  <w:style w:type="character" w:styleId="nfase">
    <w:name w:val="Emphasis"/>
    <w:basedOn w:val="Fontepargpadro"/>
    <w:uiPriority w:val="20"/>
    <w:qFormat/>
    <w:rsid w:val="006F7E3A"/>
    <w:rPr>
      <w:i/>
      <w:iCs/>
    </w:rPr>
  </w:style>
  <w:style w:type="character" w:customStyle="1" w:styleId="katex-display">
    <w:name w:val="katex-display"/>
    <w:basedOn w:val="Fontepargpadro"/>
    <w:rsid w:val="006F7E3A"/>
  </w:style>
  <w:style w:type="character" w:customStyle="1" w:styleId="katex">
    <w:name w:val="katex"/>
    <w:basedOn w:val="Fontepargpadro"/>
    <w:rsid w:val="006F7E3A"/>
  </w:style>
  <w:style w:type="character" w:customStyle="1" w:styleId="katex-mathml">
    <w:name w:val="katex-mathml"/>
    <w:basedOn w:val="Fontepargpadro"/>
    <w:rsid w:val="006F7E3A"/>
  </w:style>
  <w:style w:type="character" w:customStyle="1" w:styleId="katex-html">
    <w:name w:val="katex-html"/>
    <w:basedOn w:val="Fontepargpadro"/>
    <w:rsid w:val="006F7E3A"/>
  </w:style>
  <w:style w:type="character" w:customStyle="1" w:styleId="base">
    <w:name w:val="base"/>
    <w:basedOn w:val="Fontepargpadro"/>
    <w:rsid w:val="006F7E3A"/>
  </w:style>
  <w:style w:type="character" w:customStyle="1" w:styleId="strut">
    <w:name w:val="strut"/>
    <w:basedOn w:val="Fontepargpadro"/>
    <w:rsid w:val="006F7E3A"/>
  </w:style>
  <w:style w:type="character" w:customStyle="1" w:styleId="mord">
    <w:name w:val="mord"/>
    <w:basedOn w:val="Fontepargpadro"/>
    <w:rsid w:val="006F7E3A"/>
  </w:style>
  <w:style w:type="character" w:customStyle="1" w:styleId="msupsub">
    <w:name w:val="msupsub"/>
    <w:basedOn w:val="Fontepargpadro"/>
    <w:rsid w:val="006F7E3A"/>
  </w:style>
  <w:style w:type="character" w:customStyle="1" w:styleId="vlist-t">
    <w:name w:val="vlist-t"/>
    <w:basedOn w:val="Fontepargpadro"/>
    <w:rsid w:val="006F7E3A"/>
  </w:style>
  <w:style w:type="character" w:customStyle="1" w:styleId="vlist-r">
    <w:name w:val="vlist-r"/>
    <w:basedOn w:val="Fontepargpadro"/>
    <w:rsid w:val="006F7E3A"/>
  </w:style>
  <w:style w:type="character" w:customStyle="1" w:styleId="vlist">
    <w:name w:val="vlist"/>
    <w:basedOn w:val="Fontepargpadro"/>
    <w:rsid w:val="006F7E3A"/>
  </w:style>
  <w:style w:type="character" w:customStyle="1" w:styleId="pstrut">
    <w:name w:val="pstrut"/>
    <w:basedOn w:val="Fontepargpadro"/>
    <w:rsid w:val="006F7E3A"/>
  </w:style>
  <w:style w:type="character" w:customStyle="1" w:styleId="sizing">
    <w:name w:val="sizing"/>
    <w:basedOn w:val="Fontepargpadro"/>
    <w:rsid w:val="006F7E3A"/>
  </w:style>
  <w:style w:type="character" w:customStyle="1" w:styleId="vlist-s">
    <w:name w:val="vlist-s"/>
    <w:basedOn w:val="Fontepargpadro"/>
    <w:rsid w:val="006F7E3A"/>
  </w:style>
  <w:style w:type="character" w:customStyle="1" w:styleId="mspace">
    <w:name w:val="mspace"/>
    <w:basedOn w:val="Fontepargpadro"/>
    <w:rsid w:val="006F7E3A"/>
  </w:style>
  <w:style w:type="character" w:customStyle="1" w:styleId="mrel">
    <w:name w:val="mrel"/>
    <w:basedOn w:val="Fontepargpadro"/>
    <w:rsid w:val="006F7E3A"/>
  </w:style>
  <w:style w:type="character" w:customStyle="1" w:styleId="mpunct">
    <w:name w:val="mpunct"/>
    <w:basedOn w:val="Fontepargpadro"/>
    <w:rsid w:val="006F7E3A"/>
  </w:style>
  <w:style w:type="character" w:customStyle="1" w:styleId="mbin">
    <w:name w:val="mbin"/>
    <w:basedOn w:val="Fontepargpadro"/>
    <w:rsid w:val="006F7E3A"/>
  </w:style>
  <w:style w:type="character" w:customStyle="1" w:styleId="mopen">
    <w:name w:val="mopen"/>
    <w:basedOn w:val="Fontepargpadro"/>
    <w:rsid w:val="006F7E3A"/>
  </w:style>
  <w:style w:type="character" w:customStyle="1" w:styleId="mclose">
    <w:name w:val="mclose"/>
    <w:basedOn w:val="Fontepargpadro"/>
    <w:rsid w:val="006F7E3A"/>
  </w:style>
  <w:style w:type="character" w:customStyle="1" w:styleId="minner">
    <w:name w:val="minner"/>
    <w:basedOn w:val="Fontepargpadro"/>
    <w:rsid w:val="006F7E3A"/>
  </w:style>
  <w:style w:type="character" w:customStyle="1" w:styleId="thinbox">
    <w:name w:val="thinbox"/>
    <w:basedOn w:val="Fontepargpadro"/>
    <w:rsid w:val="006F7E3A"/>
  </w:style>
  <w:style w:type="character" w:customStyle="1" w:styleId="rlap">
    <w:name w:val="rlap"/>
    <w:basedOn w:val="Fontepargpadro"/>
    <w:rsid w:val="006F7E3A"/>
  </w:style>
  <w:style w:type="character" w:customStyle="1" w:styleId="inner">
    <w:name w:val="inner"/>
    <w:basedOn w:val="Fontepargpadro"/>
    <w:rsid w:val="006F7E3A"/>
  </w:style>
  <w:style w:type="character" w:customStyle="1" w:styleId="fix">
    <w:name w:val="fix"/>
    <w:basedOn w:val="Fontepargpadro"/>
    <w:rsid w:val="006F7E3A"/>
  </w:style>
  <w:style w:type="character" w:customStyle="1" w:styleId="mfrac">
    <w:name w:val="mfrac"/>
    <w:basedOn w:val="Fontepargpadro"/>
    <w:rsid w:val="006F7E3A"/>
  </w:style>
  <w:style w:type="character" w:customStyle="1" w:styleId="frac-line">
    <w:name w:val="frac-line"/>
    <w:basedOn w:val="Fontepargpadro"/>
    <w:rsid w:val="006F7E3A"/>
  </w:style>
  <w:style w:type="character" w:customStyle="1" w:styleId="delimsizing">
    <w:name w:val="delimsizing"/>
    <w:basedOn w:val="Fontepargpadro"/>
    <w:rsid w:val="006F7E3A"/>
  </w:style>
  <w:style w:type="character" w:customStyle="1" w:styleId="mtable">
    <w:name w:val="mtable"/>
    <w:basedOn w:val="Fontepargpadro"/>
    <w:rsid w:val="006F7E3A"/>
  </w:style>
  <w:style w:type="character" w:customStyle="1" w:styleId="col-align-c">
    <w:name w:val="col-align-c"/>
    <w:basedOn w:val="Fontepargpadro"/>
    <w:rsid w:val="006F7E3A"/>
  </w:style>
  <w:style w:type="character" w:customStyle="1" w:styleId="arraycolsep">
    <w:name w:val="arraycolsep"/>
    <w:basedOn w:val="Fontepargpadro"/>
    <w:rsid w:val="006F7E3A"/>
  </w:style>
  <w:style w:type="character" w:customStyle="1" w:styleId="accent-body">
    <w:name w:val="accent-body"/>
    <w:basedOn w:val="Fontepargpadro"/>
    <w:rsid w:val="006F7E3A"/>
  </w:style>
  <w:style w:type="character" w:customStyle="1" w:styleId="mop">
    <w:name w:val="mop"/>
    <w:basedOn w:val="Fontepargpadro"/>
    <w:rsid w:val="006F7E3A"/>
  </w:style>
  <w:style w:type="character" w:customStyle="1" w:styleId="svg-align">
    <w:name w:val="svg-align"/>
    <w:basedOn w:val="Fontepargpadro"/>
    <w:rsid w:val="006F7E3A"/>
  </w:style>
  <w:style w:type="paragraph" w:customStyle="1" w:styleId="whitespace-normal">
    <w:name w:val="whitespace-normal"/>
    <w:basedOn w:val="Normal"/>
    <w:rsid w:val="006F7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hide-tail">
    <w:name w:val="hide-tail"/>
    <w:basedOn w:val="Fontepargpadro"/>
    <w:rsid w:val="006F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1114</Words>
  <Characters>7423</Characters>
  <Application>Microsoft Office Word</Application>
  <DocSecurity>0</DocSecurity>
  <Lines>185</Lines>
  <Paragraphs>208</Paragraphs>
  <ScaleCrop>false</ScaleCrop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Oliveira</dc:creator>
  <cp:keywords/>
  <dc:description/>
  <cp:lastModifiedBy>Rafael Oliveira</cp:lastModifiedBy>
  <cp:revision>15</cp:revision>
  <dcterms:created xsi:type="dcterms:W3CDTF">2026-04-13T17:03:00Z</dcterms:created>
  <dcterms:modified xsi:type="dcterms:W3CDTF">2026-04-14T11:46:00Z</dcterms:modified>
</cp:coreProperties>
</file>