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3CE6" w14:textId="1AB6FB40" w:rsidR="00C92749" w:rsidRPr="00831A1F" w:rsidRDefault="00C92749" w:rsidP="00C92749">
      <w:pPr>
        <w:jc w:val="both"/>
        <w:rPr>
          <w:b/>
          <w:bCs/>
        </w:rPr>
      </w:pPr>
      <w:r w:rsidRPr="00E17EA5">
        <w:rPr>
          <w:b/>
          <w:bCs/>
        </w:rPr>
        <w:t xml:space="preserve">Resumo Detalhado: </w:t>
      </w:r>
      <w:r w:rsidR="00831A1F" w:rsidRPr="00831A1F">
        <w:rPr>
          <w:b/>
          <w:bCs/>
        </w:rPr>
        <w:t xml:space="preserve">Christensen, </w:t>
      </w:r>
      <w:proofErr w:type="spellStart"/>
      <w:r w:rsidR="00831A1F" w:rsidRPr="00831A1F">
        <w:rPr>
          <w:b/>
          <w:bCs/>
        </w:rPr>
        <w:t>Jorgenson</w:t>
      </w:r>
      <w:proofErr w:type="spellEnd"/>
      <w:r w:rsidR="00831A1F" w:rsidRPr="00831A1F">
        <w:rPr>
          <w:b/>
          <w:bCs/>
        </w:rPr>
        <w:t xml:space="preserve"> e </w:t>
      </w:r>
      <w:proofErr w:type="spellStart"/>
      <w:r w:rsidR="00831A1F" w:rsidRPr="00831A1F">
        <w:rPr>
          <w:b/>
          <w:bCs/>
        </w:rPr>
        <w:t>Lau</w:t>
      </w:r>
      <w:proofErr w:type="spellEnd"/>
      <w:r w:rsidR="00831A1F" w:rsidRPr="00831A1F">
        <w:rPr>
          <w:b/>
          <w:bCs/>
        </w:rPr>
        <w:t xml:space="preserve"> (1975)</w:t>
      </w:r>
    </w:p>
    <w:p w14:paraId="099D69D6" w14:textId="30627A0B" w:rsidR="00831A1F" w:rsidRPr="00831A1F" w:rsidRDefault="00831A1F" w:rsidP="00831A1F">
      <w:pPr>
        <w:jc w:val="both"/>
        <w:rPr>
          <w:b/>
          <w:bCs/>
          <w:lang w:val="en-US"/>
        </w:rPr>
      </w:pPr>
      <w:r w:rsidRPr="00831A1F">
        <w:rPr>
          <w:b/>
          <w:bCs/>
          <w:lang w:val="en-US"/>
        </w:rPr>
        <w:t>Christensen, Jorgenson e Lau (1975)</w:t>
      </w:r>
      <w:r w:rsidR="003C6A87">
        <w:rPr>
          <w:b/>
          <w:bCs/>
          <w:lang w:val="en-US"/>
        </w:rPr>
        <w:t xml:space="preserve"> -</w:t>
      </w:r>
      <w:r w:rsidRPr="00831A1F">
        <w:rPr>
          <w:b/>
          <w:bCs/>
          <w:lang w:val="en-US"/>
        </w:rPr>
        <w:t xml:space="preserve"> "Transcendental Logarithmic Utility Functions"</w:t>
      </w:r>
    </w:p>
    <w:p w14:paraId="76F1F288" w14:textId="77777777" w:rsidR="00831A1F" w:rsidRPr="00831A1F" w:rsidRDefault="00831A1F" w:rsidP="00831A1F">
      <w:pPr>
        <w:jc w:val="both"/>
        <w:rPr>
          <w:lang w:val="en-US"/>
        </w:rPr>
      </w:pPr>
      <w:r w:rsidRPr="00831A1F">
        <w:rPr>
          <w:i/>
          <w:iCs/>
          <w:lang w:val="en-US"/>
        </w:rPr>
        <w:t>American Economic Review</w:t>
      </w:r>
      <w:r w:rsidRPr="00831A1F">
        <w:rPr>
          <w:lang w:val="en-US"/>
        </w:rPr>
        <w:t>, Vol. 65, No. 3, pp. 367–383.</w:t>
      </w:r>
    </w:p>
    <w:p w14:paraId="3AF249A9" w14:textId="77777777" w:rsidR="00831A1F" w:rsidRPr="00831A1F" w:rsidRDefault="00831A1F" w:rsidP="00831A1F">
      <w:pPr>
        <w:jc w:val="both"/>
      </w:pPr>
      <w:r w:rsidRPr="00831A1F">
        <w:pict w14:anchorId="121E542C">
          <v:rect id="_x0000_i1171" style="width:0;height:1.5pt" o:hralign="center" o:hrstd="t" o:hr="t" fillcolor="#a0a0a0" stroked="f"/>
        </w:pict>
      </w:r>
    </w:p>
    <w:p w14:paraId="7C00B4C7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Motivação e contexto</w:t>
      </w:r>
    </w:p>
    <w:p w14:paraId="42243512" w14:textId="77777777" w:rsidR="00831A1F" w:rsidRPr="00831A1F" w:rsidRDefault="00831A1F" w:rsidP="00831A1F">
      <w:pPr>
        <w:jc w:val="both"/>
      </w:pPr>
      <w:r w:rsidRPr="00831A1F">
        <w:t xml:space="preserve">O ponto de partida tradicional da análise econométrica de demanda era estimar sistemas de funções de demanda que relacionam quantidades consumidas a preços e dispêndio total, testando se são consistentes com maximização de utilidade. Os modelos dominantes até então — sistema de demanda </w:t>
      </w:r>
      <w:proofErr w:type="spellStart"/>
      <w:r w:rsidRPr="00831A1F">
        <w:t>double</w:t>
      </w:r>
      <w:proofErr w:type="spellEnd"/>
      <w:r w:rsidRPr="00831A1F">
        <w:t xml:space="preserve">-log de Schultz, Stone e </w:t>
      </w:r>
      <w:proofErr w:type="spellStart"/>
      <w:r w:rsidRPr="00831A1F">
        <w:t>Wold</w:t>
      </w:r>
      <w:proofErr w:type="spellEnd"/>
      <w:r w:rsidRPr="00831A1F">
        <w:t xml:space="preserve">; sistema de Rotterdam de </w:t>
      </w:r>
      <w:proofErr w:type="spellStart"/>
      <w:r w:rsidRPr="00831A1F">
        <w:t>Barten</w:t>
      </w:r>
      <w:proofErr w:type="spellEnd"/>
      <w:r w:rsidRPr="00831A1F">
        <w:t xml:space="preserve"> e </w:t>
      </w:r>
      <w:proofErr w:type="spellStart"/>
      <w:r w:rsidRPr="00831A1F">
        <w:t>Theil</w:t>
      </w:r>
      <w:proofErr w:type="spellEnd"/>
      <w:r w:rsidRPr="00831A1F">
        <w:t xml:space="preserve"> — implicavam necessariamente uma função de utilidade linear logarítmica, que é simultaneamente </w:t>
      </w:r>
      <w:r w:rsidRPr="00831A1F">
        <w:rPr>
          <w:i/>
          <w:iCs/>
        </w:rPr>
        <w:t>aditiva</w:t>
      </w:r>
      <w:r w:rsidRPr="00831A1F">
        <w:t xml:space="preserve"> e </w:t>
      </w:r>
      <w:r w:rsidRPr="00831A1F">
        <w:rPr>
          <w:i/>
          <w:iCs/>
        </w:rPr>
        <w:t>homotética</w:t>
      </w:r>
      <w:r w:rsidRPr="00831A1F">
        <w:t>. Isso implica proporções de dispêndio constantes (independentes do nível de gasto total) e elasticidades de substituição iguais à unidade entre todos os pares de bens.</w:t>
      </w:r>
    </w:p>
    <w:p w14:paraId="0214DA45" w14:textId="77777777" w:rsidR="00831A1F" w:rsidRPr="00831A1F" w:rsidRDefault="00831A1F" w:rsidP="00831A1F">
      <w:pPr>
        <w:jc w:val="both"/>
      </w:pPr>
      <w:r w:rsidRPr="00831A1F">
        <w:t xml:space="preserve">Modelos alternativos como o sistema de dispêndio linear (Stone) ou o </w:t>
      </w:r>
      <w:proofErr w:type="spellStart"/>
      <w:r w:rsidRPr="00831A1F">
        <w:t>addilog</w:t>
      </w:r>
      <w:proofErr w:type="spellEnd"/>
      <w:r w:rsidRPr="00831A1F">
        <w:t xml:space="preserve"> direto (</w:t>
      </w:r>
      <w:proofErr w:type="spellStart"/>
      <w:r w:rsidRPr="00831A1F">
        <w:t>Houthakker</w:t>
      </w:r>
      <w:proofErr w:type="spellEnd"/>
      <w:r w:rsidRPr="00831A1F">
        <w:t>) relaxavam a homotetia, mas mantinham a aditividade como hipótese mantida, nunca como hipótese testável.</w:t>
      </w:r>
    </w:p>
    <w:p w14:paraId="75063DAA" w14:textId="77777777" w:rsidR="00831A1F" w:rsidRPr="00831A1F" w:rsidRDefault="00831A1F" w:rsidP="00831A1F">
      <w:pPr>
        <w:jc w:val="both"/>
      </w:pPr>
      <w:r w:rsidRPr="00831A1F">
        <w:t xml:space="preserve">O objetivo central do artigo é desenvolver um sistema de demanda suficientemente geral para </w:t>
      </w:r>
      <w:r w:rsidRPr="00831A1F">
        <w:rPr>
          <w:i/>
          <w:iCs/>
        </w:rPr>
        <w:t>testar</w:t>
      </w:r>
      <w:r w:rsidRPr="00831A1F">
        <w:t xml:space="preserve"> as restrições de aditividade e homotetia, sem impô-las a priori.</w:t>
      </w:r>
    </w:p>
    <w:p w14:paraId="0B78903C" w14:textId="77777777" w:rsidR="00831A1F" w:rsidRPr="00831A1F" w:rsidRDefault="00831A1F" w:rsidP="00831A1F">
      <w:pPr>
        <w:jc w:val="both"/>
      </w:pPr>
      <w:r w:rsidRPr="00831A1F">
        <w:pict w14:anchorId="308FDE72">
          <v:rect id="_x0000_i1172" style="width:0;height:1.5pt" o:hralign="center" o:hrstd="t" o:hr="t" fillcolor="#a0a0a0" stroked="f"/>
        </w:pict>
      </w:r>
    </w:p>
    <w:p w14:paraId="2B420060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 xml:space="preserve">I. As funções de utilidade </w:t>
      </w:r>
      <w:proofErr w:type="spellStart"/>
      <w:r w:rsidRPr="00831A1F">
        <w:rPr>
          <w:b/>
          <w:bCs/>
        </w:rPr>
        <w:t>translog</w:t>
      </w:r>
      <w:proofErr w:type="spellEnd"/>
    </w:p>
    <w:p w14:paraId="1E152DA8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 xml:space="preserve">Função de utilidade direta </w:t>
      </w:r>
      <w:proofErr w:type="spellStart"/>
      <w:r w:rsidRPr="00831A1F">
        <w:rPr>
          <w:b/>
          <w:bCs/>
        </w:rPr>
        <w:t>translog</w:t>
      </w:r>
      <w:proofErr w:type="spellEnd"/>
    </w:p>
    <w:p w14:paraId="2D854426" w14:textId="62BC338D" w:rsidR="00831A1F" w:rsidRPr="00831A1F" w:rsidRDefault="00831A1F" w:rsidP="00831A1F">
      <w:pPr>
        <w:jc w:val="both"/>
      </w:pPr>
      <w:r w:rsidRPr="00831A1F">
        <w:t xml:space="preserve">A ideia-chave é aproximar o negativo do logaritmo da função de utilidade direta </w:t>
      </w:r>
      <m:oMath>
        <m:r>
          <w:rPr>
            <w:rFonts w:ascii="Cambria Math" w:hAnsi="Cambria Math"/>
          </w:rPr>
          <m:t>U(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)</m:t>
        </m:r>
      </m:oMath>
      <w:r w:rsidRPr="00831A1F">
        <w:t xml:space="preserve">por uma função quadrática nos logaritmos das quantidades consumidas: </w:t>
      </w:r>
    </w:p>
    <w:p w14:paraId="6C942F88" w14:textId="12CA669D" w:rsidR="00831A1F" w:rsidRPr="00831A1F" w:rsidRDefault="00831A1F" w:rsidP="00831A1F">
      <w:pPr>
        <w:jc w:val="both"/>
      </w:pPr>
      <m:oMathPara>
        <m:oMath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0BF06A6C" w14:textId="495195C8" w:rsidR="00831A1F" w:rsidRPr="00831A1F" w:rsidRDefault="00831A1F" w:rsidP="00831A1F">
      <w:pPr>
        <w:jc w:val="both"/>
      </w:pPr>
      <w:r w:rsidRPr="00831A1F">
        <w:t xml:space="preserve">Aplicando as condições de primeira ordem da maximização de utilidade sujeita à restrição orçamentária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=M</m:t>
        </m:r>
      </m:oMath>
      <w:r w:rsidRPr="00831A1F">
        <w:t xml:space="preserve">, obtém-se as equações de participação no orçamento (*budget shares*): </w:t>
      </w:r>
    </w:p>
    <w:p w14:paraId="212F6802" w14:textId="5936225F" w:rsidR="00831A1F" w:rsidRPr="00831A1F" w:rsidRDefault="00831A1F" w:rsidP="00831A1F">
      <w:pPr>
        <w:jc w:val="both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32B5E61A" w14:textId="0BAE0B7B" w:rsidR="00831A1F" w:rsidRPr="00831A1F" w:rsidRDefault="00831A1F" w:rsidP="00831A1F">
      <w:pPr>
        <w:jc w:val="both"/>
      </w:pPr>
      <w:r w:rsidRPr="00831A1F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Pr="00831A1F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Mi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ki</m:t>
                </m:r>
              </m:sub>
            </m:sSub>
          </m:e>
        </m:nary>
      </m:oMath>
      <w:r w:rsidRPr="00831A1F">
        <w:t xml:space="preserve">. Por convenção, normaliza-se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=-1</m:t>
        </m:r>
      </m:oMath>
      <w:r w:rsidRPr="00831A1F">
        <w:t xml:space="preserve">. </w:t>
      </w:r>
    </w:p>
    <w:p w14:paraId="074930F7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 xml:space="preserve">Função de utilidade indireta </w:t>
      </w:r>
      <w:proofErr w:type="spellStart"/>
      <w:r w:rsidRPr="00831A1F">
        <w:rPr>
          <w:b/>
          <w:bCs/>
        </w:rPr>
        <w:t>translog</w:t>
      </w:r>
      <w:proofErr w:type="spellEnd"/>
    </w:p>
    <w:p w14:paraId="1DE82C14" w14:textId="6A831FC1" w:rsidR="00831A1F" w:rsidRPr="00831A1F" w:rsidRDefault="00831A1F" w:rsidP="00831A1F">
      <w:pPr>
        <w:jc w:val="both"/>
      </w:pPr>
      <w:r w:rsidRPr="00831A1F">
        <w:t xml:space="preserve">Explorando a dualidade entre funções de utilidade direta e indireta, os autores aproximam o logaritmo da função de utilidade indireta </w:t>
      </w:r>
      <m:oMath>
        <m:r>
          <w:rPr>
            <w:rFonts w:ascii="Cambria Math" w:hAnsi="Cambria Math"/>
          </w:rPr>
          <m:t>V(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M)</m:t>
        </m:r>
      </m:oMath>
      <w:r w:rsidRPr="00831A1F">
        <w:t xml:space="preserve">como quadrático nos logaritmos dos preços relativos ao dispêndio: </w:t>
      </w:r>
    </w:p>
    <w:p w14:paraId="6EEFC584" w14:textId="5F4436E6" w:rsidR="00831A1F" w:rsidRPr="00831A1F" w:rsidRDefault="00831A1F" w:rsidP="00831A1F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⁡V=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br/>
          </m:r>
        </m:oMath>
      </m:oMathPara>
    </w:p>
    <w:p w14:paraId="7F795960" w14:textId="77777777" w:rsidR="00831A1F" w:rsidRPr="00831A1F" w:rsidRDefault="00831A1F" w:rsidP="00831A1F">
      <w:pPr>
        <w:jc w:val="both"/>
      </w:pPr>
      <w:r w:rsidRPr="00831A1F">
        <w:t xml:space="preserve">Usando a identidade de Roy (na forma logarítmica), derivam as </w:t>
      </w:r>
      <w:proofErr w:type="gramStart"/>
      <w:r w:rsidRPr="00831A1F">
        <w:rPr>
          <w:i/>
          <w:iCs/>
        </w:rPr>
        <w:t>budget</w:t>
      </w:r>
      <w:proofErr w:type="gramEnd"/>
      <w:r w:rsidRPr="00831A1F">
        <w:rPr>
          <w:i/>
          <w:iCs/>
        </w:rPr>
        <w:t xml:space="preserve"> </w:t>
      </w:r>
      <w:proofErr w:type="spellStart"/>
      <w:r w:rsidRPr="00831A1F">
        <w:rPr>
          <w:i/>
          <w:iCs/>
        </w:rPr>
        <w:t>shares</w:t>
      </w:r>
      <w:proofErr w:type="spellEnd"/>
      <w:r w:rsidRPr="00831A1F">
        <w:t xml:space="preserve"> diretamente da função indireta. A estrutura paramétrica é paralela à do sistema direto.</w:t>
      </w:r>
    </w:p>
    <w:p w14:paraId="6D66C4F6" w14:textId="77777777" w:rsidR="00831A1F" w:rsidRPr="00831A1F" w:rsidRDefault="00831A1F" w:rsidP="00831A1F">
      <w:pPr>
        <w:jc w:val="both"/>
      </w:pPr>
      <w:r w:rsidRPr="00831A1F">
        <w:t>A denominação "</w:t>
      </w:r>
      <w:proofErr w:type="spellStart"/>
      <w:r w:rsidRPr="00831A1F">
        <w:t>translog</w:t>
      </w:r>
      <w:proofErr w:type="spellEnd"/>
      <w:r w:rsidRPr="00831A1F">
        <w:t xml:space="preserve">" vem do trabalho anterior dos mesmos autores com funções de produção (Christensen, </w:t>
      </w:r>
      <w:proofErr w:type="spellStart"/>
      <w:r w:rsidRPr="00831A1F">
        <w:t>Jorgenson</w:t>
      </w:r>
      <w:proofErr w:type="spellEnd"/>
      <w:r w:rsidRPr="00831A1F">
        <w:t xml:space="preserve"> e </w:t>
      </w:r>
      <w:proofErr w:type="spellStart"/>
      <w:r w:rsidRPr="00831A1F">
        <w:t>Lau</w:t>
      </w:r>
      <w:proofErr w:type="spellEnd"/>
      <w:r w:rsidRPr="00831A1F">
        <w:t>, 1971, 1973): trata-se de uma função transcendental (não polinomial) dos logaritmos dos argumentos.</w:t>
      </w:r>
    </w:p>
    <w:p w14:paraId="1A9F12C5" w14:textId="77777777" w:rsidR="00831A1F" w:rsidRPr="00831A1F" w:rsidRDefault="00831A1F" w:rsidP="00831A1F">
      <w:pPr>
        <w:jc w:val="both"/>
      </w:pPr>
      <w:r w:rsidRPr="00831A1F">
        <w:pict w14:anchorId="1A5599AD">
          <v:rect id="_x0000_i1173" style="width:0;height:1.5pt" o:hralign="center" o:hrstd="t" o:hr="t" fillcolor="#a0a0a0" stroked="f"/>
        </w:pict>
      </w:r>
    </w:p>
    <w:p w14:paraId="639FDDB7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II. Estrutura de restrições e testes</w:t>
      </w:r>
    </w:p>
    <w:p w14:paraId="0709A0A2" w14:textId="069BFCEA" w:rsidR="00831A1F" w:rsidRPr="00831A1F" w:rsidRDefault="00831A1F" w:rsidP="00831A1F">
      <w:pPr>
        <w:jc w:val="both"/>
      </w:pPr>
      <w:r w:rsidRPr="00831A1F">
        <w:t xml:space="preserve">O núcleo metodológico do artigo é a derivação de um conjunto hierárquico de restrições sobre os parâmetros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</m:oMath>
      <w:r w:rsidRPr="00831A1F">
        <w:t xml:space="preserve">, cada uma correspondendo a uma hipótese econômica específica. </w:t>
      </w:r>
    </w:p>
    <w:p w14:paraId="17641097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Restrições de igualdade e simetria (teoria da demanda)</w:t>
      </w:r>
    </w:p>
    <w:p w14:paraId="74DD2AFF" w14:textId="77777777" w:rsidR="00831A1F" w:rsidRPr="00831A1F" w:rsidRDefault="00831A1F" w:rsidP="00831A1F">
      <w:pPr>
        <w:jc w:val="both"/>
      </w:pPr>
      <w:r w:rsidRPr="00831A1F">
        <w:t xml:space="preserve">Se </w:t>
      </w:r>
      <w:proofErr w:type="gramStart"/>
      <w:r w:rsidRPr="00831A1F">
        <w:t xml:space="preserve">os </w:t>
      </w:r>
      <w:r w:rsidRPr="00831A1F">
        <w:rPr>
          <w:i/>
          <w:iCs/>
        </w:rPr>
        <w:t>budget</w:t>
      </w:r>
      <w:proofErr w:type="gramEnd"/>
      <w:r w:rsidRPr="00831A1F">
        <w:rPr>
          <w:i/>
          <w:iCs/>
        </w:rPr>
        <w:t xml:space="preserve"> </w:t>
      </w:r>
      <w:proofErr w:type="spellStart"/>
      <w:r w:rsidRPr="00831A1F">
        <w:rPr>
          <w:i/>
          <w:iCs/>
        </w:rPr>
        <w:t>shares</w:t>
      </w:r>
      <w:proofErr w:type="spellEnd"/>
      <w:r w:rsidRPr="00831A1F">
        <w:t xml:space="preserve"> são gerados por maximização de utilidade, os parâmetros devem satisfazer:</w:t>
      </w:r>
    </w:p>
    <w:p w14:paraId="63C7770A" w14:textId="327A35E7" w:rsidR="00831A1F" w:rsidRPr="00831A1F" w:rsidRDefault="00831A1F" w:rsidP="00831A1F">
      <w:pPr>
        <w:numPr>
          <w:ilvl w:val="0"/>
          <w:numId w:val="6"/>
        </w:numPr>
        <w:jc w:val="both"/>
      </w:pPr>
      <w:r w:rsidRPr="00831A1F">
        <w:rPr>
          <w:b/>
          <w:bCs/>
        </w:rPr>
        <w:t>Igualdade</w:t>
      </w:r>
      <w:r w:rsidRPr="00831A1F">
        <w:t xml:space="preserve">: os parâmetros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Mj</m:t>
            </m:r>
          </m:sub>
        </m:sSub>
      </m:oMath>
      <w:r w:rsidRPr="00831A1F">
        <w:t xml:space="preserve">que aparecem em cada equação do sistema devem ser os mesmos — isso gera </w:t>
      </w:r>
      <m:oMath>
        <m:r>
          <w:rPr>
            <w:rFonts w:ascii="Cambria Math" w:hAnsi="Cambria Math"/>
          </w:rPr>
          <m:t>m(m-2)</m:t>
        </m:r>
      </m:oMath>
      <w:r w:rsidRPr="00831A1F">
        <w:t xml:space="preserve">restrições. </w:t>
      </w:r>
    </w:p>
    <w:p w14:paraId="762EA4F4" w14:textId="6BDE1BA2" w:rsidR="00831A1F" w:rsidRPr="00831A1F" w:rsidRDefault="00831A1F" w:rsidP="00831A1F">
      <w:pPr>
        <w:numPr>
          <w:ilvl w:val="0"/>
          <w:numId w:val="6"/>
        </w:numPr>
        <w:jc w:val="both"/>
      </w:pPr>
      <w:r w:rsidRPr="00831A1F">
        <w:rPr>
          <w:b/>
          <w:bCs/>
        </w:rPr>
        <w:t>Simetria</w:t>
      </w:r>
      <w:r w:rsidRPr="00831A1F">
        <w:t xml:space="preserve">: a matriz Hessiana do logaritmo da utilidade é simétrica, implicando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00831A1F">
        <w:t xml:space="preserve">— totaliza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m(m-1)</m:t>
        </m:r>
      </m:oMath>
      <w:r w:rsidRPr="00831A1F">
        <w:t xml:space="preserve">restrições. </w:t>
      </w:r>
    </w:p>
    <w:p w14:paraId="767B1B2D" w14:textId="56DB3E8B" w:rsidR="00831A1F" w:rsidRPr="00831A1F" w:rsidRDefault="00831A1F" w:rsidP="00831A1F">
      <w:pPr>
        <w:jc w:val="both"/>
      </w:pPr>
      <w:r w:rsidRPr="00831A1F">
        <w:t xml:space="preserve">Juntas, igualdade e simetria constituem as restrições da teoria da demanda: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m(3m-5)</m:t>
        </m:r>
      </m:oMath>
      <w:r w:rsidRPr="00831A1F">
        <w:t xml:space="preserve">restrições no total. </w:t>
      </w:r>
    </w:p>
    <w:p w14:paraId="6BCE74F9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lastRenderedPageBreak/>
        <w:t>Restrições de aditividade</w:t>
      </w:r>
    </w:p>
    <w:p w14:paraId="6A6A5663" w14:textId="237F123F" w:rsidR="00831A1F" w:rsidRPr="00831A1F" w:rsidRDefault="00831A1F" w:rsidP="00831A1F">
      <w:pPr>
        <w:jc w:val="both"/>
      </w:pPr>
      <w:r w:rsidRPr="00831A1F">
        <w:t xml:space="preserve">Se </w:t>
      </w:r>
      <m:oMath>
        <m:r>
          <w:rPr>
            <w:rFonts w:ascii="Cambria Math" w:hAnsi="Cambria Math"/>
          </w:rPr>
          <m:t>U</m:t>
        </m:r>
      </m:oMath>
      <w:r w:rsidRPr="00831A1F">
        <w:t>é aditiva (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⁡U=F(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⁡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))</m:t>
        </m:r>
      </m:oMath>
      <w:r w:rsidRPr="00831A1F">
        <w:t xml:space="preserve">), os parâmetros do translog satisfazem: </w:t>
      </w:r>
    </w:p>
    <w:p w14:paraId="0C80FD64" w14:textId="058895A4" w:rsidR="00831A1F" w:rsidRPr="00831A1F" w:rsidRDefault="00831A1F" w:rsidP="00831A1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j)</m:t>
          </m:r>
          <m:r>
            <w:rPr>
              <w:i/>
            </w:rPr>
            <w:br/>
          </m:r>
        </m:oMath>
      </m:oMathPara>
    </w:p>
    <w:p w14:paraId="4B85AE9C" w14:textId="0D802F43" w:rsidR="00831A1F" w:rsidRPr="00831A1F" w:rsidRDefault="00831A1F" w:rsidP="00831A1F">
      <w:pPr>
        <w:jc w:val="both"/>
      </w:pPr>
      <w:r w:rsidRPr="00831A1F">
        <w:t xml:space="preserve">onde </w:t>
      </w:r>
      <m:oMath>
        <m:r>
          <w:rPr>
            <w:rFonts w:ascii="Cambria Math" w:hAnsi="Cambria Math"/>
          </w:rPr>
          <m:t>θ=-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31A1F">
        <w:t xml:space="preserve">. Isso gera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(m-2)(m-1)</m:t>
        </m:r>
      </m:oMath>
      <w:r w:rsidRPr="00831A1F">
        <w:t xml:space="preserve">restrições independentes. Aditividade *explícita* (o translog em si é aditivo, não apenas aproximação de uma função aditiva) requer adicionalmente </w:t>
      </w:r>
      <m:oMath>
        <m:r>
          <w:rPr>
            <w:rFonts w:ascii="Cambria Math" w:hAnsi="Cambria Math"/>
          </w:rPr>
          <m:t>θ=0</m:t>
        </m:r>
      </m:oMath>
      <w:r w:rsidRPr="00831A1F">
        <w:t xml:space="preserve">. </w:t>
      </w:r>
    </w:p>
    <w:p w14:paraId="628862DF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Restrições de homotetia</w:t>
      </w:r>
    </w:p>
    <w:p w14:paraId="2545FACD" w14:textId="21DCFC31" w:rsidR="00831A1F" w:rsidRPr="00831A1F" w:rsidRDefault="00831A1F" w:rsidP="00831A1F">
      <w:pPr>
        <w:jc w:val="both"/>
      </w:pPr>
      <w:r w:rsidRPr="00831A1F">
        <w:t xml:space="preserve">Se </w:t>
      </w:r>
      <m:oMath>
        <m:r>
          <w:rPr>
            <w:rFonts w:ascii="Cambria Math" w:hAnsi="Cambria Math"/>
          </w:rPr>
          <m:t>U</m:t>
        </m:r>
      </m:oMath>
      <w:r w:rsidRPr="00831A1F">
        <w:t xml:space="preserve">é homotética, os parâmetros satisfazem: </w:t>
      </w:r>
    </w:p>
    <w:p w14:paraId="08B352A2" w14:textId="62FF6058" w:rsidR="00831A1F" w:rsidRPr="00831A1F" w:rsidRDefault="00831A1F" w:rsidP="00831A1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Mi</m:t>
              </m:r>
            </m:sub>
          </m:sSub>
          <m:r>
            <w:rPr>
              <w:rFonts w:ascii="Cambria Math" w:hAnsi="Cambria Math"/>
            </w:rPr>
            <m:t>=σ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</m:oMathPara>
    </w:p>
    <w:p w14:paraId="6275C141" w14:textId="61DABBFA" w:rsidR="00831A1F" w:rsidRPr="00831A1F" w:rsidRDefault="00831A1F" w:rsidP="00831A1F">
      <w:pPr>
        <w:jc w:val="both"/>
      </w:pPr>
      <w:r w:rsidRPr="00831A1F">
        <w:t xml:space="preserve">gerando </w:t>
      </w:r>
      <m:oMath>
        <m:r>
          <w:rPr>
            <w:rFonts w:ascii="Cambria Math" w:hAnsi="Cambria Math"/>
          </w:rPr>
          <m:t>m-1</m:t>
        </m:r>
      </m:oMath>
      <w:r w:rsidRPr="00831A1F">
        <w:t xml:space="preserve">restrições. Homotetia em sentido estrito (homogeneidade do translog) exige </w:t>
      </w:r>
      <m:oMath>
        <m:r>
          <w:rPr>
            <w:rFonts w:ascii="Cambria Math" w:hAnsi="Cambria Math"/>
          </w:rPr>
          <m:t>σ=0</m:t>
        </m:r>
      </m:oMath>
      <w:r w:rsidRPr="00831A1F">
        <w:t xml:space="preserve">. </w:t>
      </w:r>
    </w:p>
    <w:p w14:paraId="5A83C17D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Caso limite: utilidade linear logarítmica</w:t>
      </w:r>
    </w:p>
    <w:p w14:paraId="0BA2C150" w14:textId="77777777" w:rsidR="00831A1F" w:rsidRPr="00831A1F" w:rsidRDefault="00831A1F" w:rsidP="00831A1F">
      <w:pPr>
        <w:jc w:val="both"/>
      </w:pPr>
      <w:r w:rsidRPr="00831A1F">
        <w:t xml:space="preserve">A imposição conjunta de aditividade e homotetia colapsa o sistema para a utilidade linear logarítmica, com </w:t>
      </w:r>
      <w:proofErr w:type="gramStart"/>
      <w:r w:rsidRPr="00831A1F">
        <w:rPr>
          <w:i/>
          <w:iCs/>
        </w:rPr>
        <w:t>budget</w:t>
      </w:r>
      <w:proofErr w:type="gramEnd"/>
      <w:r w:rsidRPr="00831A1F">
        <w:rPr>
          <w:i/>
          <w:iCs/>
        </w:rPr>
        <w:t xml:space="preserve"> </w:t>
      </w:r>
      <w:proofErr w:type="spellStart"/>
      <w:r w:rsidRPr="00831A1F">
        <w:rPr>
          <w:i/>
          <w:iCs/>
        </w:rPr>
        <w:t>shares</w:t>
      </w:r>
      <w:proofErr w:type="spellEnd"/>
      <w:r w:rsidRPr="00831A1F">
        <w:t xml:space="preserve"> constantes e elasticidades de substituição unitárias. Este é o resultado que corresponde ao que Rotterdam e </w:t>
      </w:r>
      <w:proofErr w:type="spellStart"/>
      <w:r w:rsidRPr="00831A1F">
        <w:t>double</w:t>
      </w:r>
      <w:proofErr w:type="spellEnd"/>
      <w:r w:rsidRPr="00831A1F">
        <w:t>-log assumiam implicitamente.</w:t>
      </w:r>
    </w:p>
    <w:p w14:paraId="7DDED8ED" w14:textId="77777777" w:rsidR="00831A1F" w:rsidRPr="00831A1F" w:rsidRDefault="00831A1F" w:rsidP="00831A1F">
      <w:pPr>
        <w:jc w:val="both"/>
      </w:pPr>
      <w:r w:rsidRPr="00831A1F">
        <w:pict w14:anchorId="60F548A7">
          <v:rect id="_x0000_i1174" style="width:0;height:1.5pt" o:hralign="center" o:hrstd="t" o:hr="t" fillcolor="#a0a0a0" stroked="f"/>
        </w:pict>
      </w:r>
    </w:p>
    <w:p w14:paraId="6934E525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III. Resultados empíricos</w:t>
      </w:r>
    </w:p>
    <w:p w14:paraId="2D47AFC2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Dados</w:t>
      </w:r>
    </w:p>
    <w:p w14:paraId="322E6DDC" w14:textId="77777777" w:rsidR="00831A1F" w:rsidRPr="00831A1F" w:rsidRDefault="00831A1F" w:rsidP="00831A1F">
      <w:pPr>
        <w:jc w:val="both"/>
      </w:pPr>
      <w:r w:rsidRPr="00831A1F">
        <w:t>Séries temporais anuais dos EUA para 1929–1972 com preços e quantidades de três grupos de bens: (1) serviços de duráveis, (2) bens não-duráveis, e (3) outros serviços. Totalizam 44 observações por equação comportamental.</w:t>
      </w:r>
    </w:p>
    <w:p w14:paraId="3A39563B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Estimação</w:t>
      </w:r>
    </w:p>
    <w:p w14:paraId="44ADEFF2" w14:textId="014AE37A" w:rsidR="00831A1F" w:rsidRPr="00831A1F" w:rsidRDefault="00831A1F" w:rsidP="00831A1F">
      <w:pPr>
        <w:jc w:val="both"/>
      </w:pPr>
      <w:r w:rsidRPr="00831A1F">
        <w:t xml:space="preserve">Os sistemas de dois *budget </w:t>
      </w:r>
      <w:proofErr w:type="spellStart"/>
      <w:r w:rsidRPr="00831A1F">
        <w:t>shares</w:t>
      </w:r>
      <w:proofErr w:type="spellEnd"/>
      <w:r w:rsidRPr="00831A1F">
        <w:t xml:space="preserve">* (para duráveis e não-duráveis, recuperando o terceiro pela restrição orçamentária) foram estimados por máxima verossimilhança, com teste pela razão de verossimilhança </w:t>
      </w:r>
      <m:oMath>
        <m:r>
          <w:rPr>
            <w:rFonts w:ascii="Cambria Math" w:hAnsi="Cambria Math"/>
          </w:rPr>
          <m:t>-2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⁡λ∼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31A1F">
        <w:t xml:space="preserve">assintoticamente. </w:t>
      </w:r>
    </w:p>
    <w:p w14:paraId="5FDB00F0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Resultados dos testes</w:t>
      </w:r>
    </w:p>
    <w:p w14:paraId="6FBFD1D9" w14:textId="77777777" w:rsidR="00831A1F" w:rsidRPr="00831A1F" w:rsidRDefault="00831A1F" w:rsidP="00831A1F">
      <w:pPr>
        <w:jc w:val="both"/>
      </w:pPr>
      <w:r w:rsidRPr="00831A1F">
        <w:t>O protocolo de testes é sequencial e hierárquico (apresentado nas Figuras 1 e 2 do artigo). Os principais resultados foram:</w:t>
      </w:r>
    </w:p>
    <w:tbl>
      <w:tblPr>
        <w:tblStyle w:val="TabelaSimples4"/>
        <w:tblW w:w="7915" w:type="dxa"/>
        <w:tblLook w:val="04A0" w:firstRow="1" w:lastRow="0" w:firstColumn="1" w:lastColumn="0" w:noHBand="0" w:noVBand="1"/>
      </w:tblPr>
      <w:tblGrid>
        <w:gridCol w:w="4501"/>
        <w:gridCol w:w="706"/>
        <w:gridCol w:w="1230"/>
        <w:gridCol w:w="1478"/>
      </w:tblGrid>
      <w:tr w:rsidR="00831A1F" w:rsidRPr="00831A1F" w14:paraId="28E4CCA9" w14:textId="77777777" w:rsidTr="003C6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E269CB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lastRenderedPageBreak/>
              <w:t>Hipótese</w:t>
            </w:r>
          </w:p>
        </w:tc>
        <w:tc>
          <w:tcPr>
            <w:tcW w:w="0" w:type="auto"/>
            <w:vAlign w:val="center"/>
            <w:hideMark/>
          </w:tcPr>
          <w:p w14:paraId="0501633F" w14:textId="77777777" w:rsidR="00831A1F" w:rsidRPr="00831A1F" w:rsidRDefault="00831A1F" w:rsidP="003C6A8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GL</w:t>
            </w:r>
          </w:p>
        </w:tc>
        <w:tc>
          <w:tcPr>
            <w:tcW w:w="0" w:type="auto"/>
            <w:vAlign w:val="center"/>
            <w:hideMark/>
          </w:tcPr>
          <w:p w14:paraId="21491AD7" w14:textId="77777777" w:rsidR="00831A1F" w:rsidRPr="00831A1F" w:rsidRDefault="00831A1F" w:rsidP="003C6A8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Direto</w:t>
            </w:r>
          </w:p>
        </w:tc>
        <w:tc>
          <w:tcPr>
            <w:tcW w:w="0" w:type="auto"/>
            <w:vAlign w:val="center"/>
            <w:hideMark/>
          </w:tcPr>
          <w:p w14:paraId="0C97715E" w14:textId="77777777" w:rsidR="00831A1F" w:rsidRPr="00831A1F" w:rsidRDefault="00831A1F" w:rsidP="003C6A8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Indireto</w:t>
            </w:r>
          </w:p>
        </w:tc>
      </w:tr>
      <w:tr w:rsidR="00831A1F" w:rsidRPr="00831A1F" w14:paraId="2A736493" w14:textId="77777777" w:rsidTr="003C6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8C3AFF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t>Igualdade e simetria (teoria)</w:t>
            </w:r>
          </w:p>
        </w:tc>
        <w:tc>
          <w:tcPr>
            <w:tcW w:w="0" w:type="auto"/>
            <w:vAlign w:val="center"/>
            <w:hideMark/>
          </w:tcPr>
          <w:p w14:paraId="5AC02D0A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6</w:t>
            </w:r>
          </w:p>
        </w:tc>
        <w:tc>
          <w:tcPr>
            <w:tcW w:w="0" w:type="auto"/>
            <w:vAlign w:val="center"/>
            <w:hideMark/>
          </w:tcPr>
          <w:p w14:paraId="198CC1C3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5,64</w:t>
            </w:r>
          </w:p>
        </w:tc>
        <w:tc>
          <w:tcPr>
            <w:tcW w:w="0" w:type="auto"/>
            <w:vAlign w:val="center"/>
            <w:hideMark/>
          </w:tcPr>
          <w:p w14:paraId="47F2033F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10,25</w:t>
            </w:r>
          </w:p>
        </w:tc>
      </w:tr>
      <w:tr w:rsidR="00831A1F" w:rsidRPr="00831A1F" w14:paraId="4B8BF4A5" w14:textId="77777777" w:rsidTr="003C6A8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E62954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t>Aditividade</w:t>
            </w:r>
          </w:p>
        </w:tc>
        <w:tc>
          <w:tcPr>
            <w:tcW w:w="0" w:type="auto"/>
            <w:vAlign w:val="center"/>
            <w:hideMark/>
          </w:tcPr>
          <w:p w14:paraId="43CC51C2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2</w:t>
            </w:r>
          </w:p>
        </w:tc>
        <w:tc>
          <w:tcPr>
            <w:tcW w:w="0" w:type="auto"/>
            <w:vAlign w:val="center"/>
            <w:hideMark/>
          </w:tcPr>
          <w:p w14:paraId="10695BF1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33,63</w:t>
            </w:r>
          </w:p>
        </w:tc>
        <w:tc>
          <w:tcPr>
            <w:tcW w:w="0" w:type="auto"/>
            <w:vAlign w:val="center"/>
            <w:hideMark/>
          </w:tcPr>
          <w:p w14:paraId="34F8E592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2,95</w:t>
            </w:r>
          </w:p>
        </w:tc>
      </w:tr>
      <w:tr w:rsidR="00831A1F" w:rsidRPr="00831A1F" w14:paraId="19C9245D" w14:textId="77777777" w:rsidTr="003C6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353947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t>Homotetia</w:t>
            </w:r>
          </w:p>
        </w:tc>
        <w:tc>
          <w:tcPr>
            <w:tcW w:w="0" w:type="auto"/>
            <w:vAlign w:val="center"/>
            <w:hideMark/>
          </w:tcPr>
          <w:p w14:paraId="3BE342BE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2</w:t>
            </w:r>
          </w:p>
        </w:tc>
        <w:tc>
          <w:tcPr>
            <w:tcW w:w="0" w:type="auto"/>
            <w:vAlign w:val="center"/>
            <w:hideMark/>
          </w:tcPr>
          <w:p w14:paraId="188446B9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13,71</w:t>
            </w:r>
          </w:p>
        </w:tc>
        <w:tc>
          <w:tcPr>
            <w:tcW w:w="0" w:type="auto"/>
            <w:vAlign w:val="center"/>
            <w:hideMark/>
          </w:tcPr>
          <w:p w14:paraId="2599D690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22,68</w:t>
            </w:r>
          </w:p>
        </w:tc>
      </w:tr>
      <w:tr w:rsidR="00831A1F" w:rsidRPr="00831A1F" w14:paraId="78FD61D7" w14:textId="77777777" w:rsidTr="003C6A87">
        <w:trPr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84B34A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t>Aditividade + Homotetia</w:t>
            </w:r>
          </w:p>
        </w:tc>
        <w:tc>
          <w:tcPr>
            <w:tcW w:w="0" w:type="auto"/>
            <w:vAlign w:val="center"/>
            <w:hideMark/>
          </w:tcPr>
          <w:p w14:paraId="01DEFDDF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4</w:t>
            </w:r>
          </w:p>
        </w:tc>
        <w:tc>
          <w:tcPr>
            <w:tcW w:w="0" w:type="auto"/>
            <w:vAlign w:val="center"/>
            <w:hideMark/>
          </w:tcPr>
          <w:p w14:paraId="62BDFB46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19,02</w:t>
            </w:r>
          </w:p>
        </w:tc>
        <w:tc>
          <w:tcPr>
            <w:tcW w:w="0" w:type="auto"/>
            <w:vAlign w:val="center"/>
            <w:hideMark/>
          </w:tcPr>
          <w:p w14:paraId="2D5D8D2A" w14:textId="77777777" w:rsidR="00831A1F" w:rsidRPr="00831A1F" w:rsidRDefault="00831A1F" w:rsidP="003C6A87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1A1F">
              <w:t>16,24</w:t>
            </w:r>
          </w:p>
        </w:tc>
      </w:tr>
      <w:tr w:rsidR="00831A1F" w:rsidRPr="00831A1F" w14:paraId="62FD7F78" w14:textId="77777777" w:rsidTr="003C6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9F704A" w14:textId="77777777" w:rsidR="00831A1F" w:rsidRPr="00831A1F" w:rsidRDefault="00831A1F" w:rsidP="003C6A87">
            <w:pPr>
              <w:spacing w:after="160" w:line="278" w:lineRule="auto"/>
              <w:jc w:val="center"/>
            </w:pPr>
            <w:r w:rsidRPr="00831A1F">
              <w:t>Utilidade linear log</w:t>
            </w:r>
          </w:p>
        </w:tc>
        <w:tc>
          <w:tcPr>
            <w:tcW w:w="0" w:type="auto"/>
            <w:vAlign w:val="center"/>
            <w:hideMark/>
          </w:tcPr>
          <w:p w14:paraId="1EA3920A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2</w:t>
            </w:r>
          </w:p>
        </w:tc>
        <w:tc>
          <w:tcPr>
            <w:tcW w:w="0" w:type="auto"/>
            <w:vAlign w:val="center"/>
            <w:hideMark/>
          </w:tcPr>
          <w:p w14:paraId="0426443B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29,67</w:t>
            </w:r>
          </w:p>
        </w:tc>
        <w:tc>
          <w:tcPr>
            <w:tcW w:w="0" w:type="auto"/>
            <w:vAlign w:val="center"/>
            <w:hideMark/>
          </w:tcPr>
          <w:p w14:paraId="4B14408F" w14:textId="77777777" w:rsidR="00831A1F" w:rsidRPr="00831A1F" w:rsidRDefault="00831A1F" w:rsidP="003C6A87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1A1F">
              <w:t>48,31</w:t>
            </w:r>
          </w:p>
        </w:tc>
      </w:tr>
    </w:tbl>
    <w:p w14:paraId="48D5A91A" w14:textId="77777777" w:rsidR="003C6A87" w:rsidRDefault="003C6A87" w:rsidP="00831A1F">
      <w:pPr>
        <w:jc w:val="both"/>
      </w:pPr>
    </w:p>
    <w:p w14:paraId="32101069" w14:textId="225598DA" w:rsidR="00831A1F" w:rsidRPr="00831A1F" w:rsidRDefault="00831A1F" w:rsidP="00831A1F">
      <w:pPr>
        <w:jc w:val="both"/>
      </w:pPr>
      <w:r w:rsidRPr="00831A1F">
        <w:t xml:space="preserve">Com nível de significância de 1% e 6 graus de liberdade, o valor crítico é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6;0.01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6≈2.80</m:t>
        </m:r>
      </m:oMath>
      <w:r w:rsidRPr="00831A1F">
        <w:t xml:space="preserve">. As estatísticas divididas pelos GL ficam em 0,94 (direto) e 1,71 (indireto), o que leva à </w:t>
      </w:r>
      <w:r w:rsidRPr="00831A1F">
        <w:rPr>
          <w:b/>
          <w:bCs/>
        </w:rPr>
        <w:t>rejeição da teoria da demanda</w:t>
      </w:r>
      <w:r w:rsidRPr="00831A1F">
        <w:t xml:space="preserve"> em ambos os casos — particularmente forte no sistema indireto.</w:t>
      </w:r>
    </w:p>
    <w:p w14:paraId="2D52629D" w14:textId="77777777" w:rsidR="00831A1F" w:rsidRPr="00831A1F" w:rsidRDefault="00831A1F" w:rsidP="00831A1F">
      <w:pPr>
        <w:jc w:val="both"/>
      </w:pPr>
      <w:r w:rsidRPr="00831A1F">
        <w:t>Procedendo condicionalmente à validade da teoria da demanda (como exercício):</w:t>
      </w:r>
    </w:p>
    <w:p w14:paraId="4C9DEC0A" w14:textId="77777777" w:rsidR="00831A1F" w:rsidRPr="00831A1F" w:rsidRDefault="00831A1F" w:rsidP="00831A1F">
      <w:pPr>
        <w:numPr>
          <w:ilvl w:val="0"/>
          <w:numId w:val="7"/>
        </w:numPr>
        <w:jc w:val="both"/>
      </w:pPr>
      <w:r w:rsidRPr="00831A1F">
        <w:t>No sistema direto: rejeita-se tanto aditividade quanto homotetia.</w:t>
      </w:r>
    </w:p>
    <w:p w14:paraId="61750EA7" w14:textId="77777777" w:rsidR="00831A1F" w:rsidRPr="00831A1F" w:rsidRDefault="00831A1F" w:rsidP="00831A1F">
      <w:pPr>
        <w:numPr>
          <w:ilvl w:val="0"/>
          <w:numId w:val="7"/>
        </w:numPr>
        <w:jc w:val="both"/>
      </w:pPr>
      <w:r w:rsidRPr="00831A1F">
        <w:t xml:space="preserve">No sistema indireto: aceita-se </w:t>
      </w:r>
      <w:proofErr w:type="gramStart"/>
      <w:r w:rsidRPr="00831A1F">
        <w:t>aditividade</w:t>
      </w:r>
      <w:proofErr w:type="gramEnd"/>
      <w:r w:rsidRPr="00831A1F">
        <w:t xml:space="preserve"> mas rejeita-se homotetia — o que, combinado com a dualidade, é inconsistente com aceitar aditividade no sistema direto, pois aditividade direta e indireta simultâneas implicam homotetia.</w:t>
      </w:r>
    </w:p>
    <w:p w14:paraId="62C00065" w14:textId="77777777" w:rsidR="00831A1F" w:rsidRPr="00831A1F" w:rsidRDefault="00831A1F" w:rsidP="00831A1F">
      <w:pPr>
        <w:numPr>
          <w:ilvl w:val="0"/>
          <w:numId w:val="7"/>
        </w:numPr>
        <w:jc w:val="both"/>
      </w:pPr>
      <w:r w:rsidRPr="00831A1F">
        <w:t>A utilidade linear logarítmica é rejeitada em ambos os sistemas com folga ampla.</w:t>
      </w:r>
    </w:p>
    <w:p w14:paraId="7ADC19D3" w14:textId="77777777" w:rsidR="00831A1F" w:rsidRPr="00831A1F" w:rsidRDefault="00831A1F" w:rsidP="00831A1F">
      <w:pPr>
        <w:jc w:val="both"/>
      </w:pPr>
      <w:r w:rsidRPr="00831A1F">
        <w:pict w14:anchorId="3CF12175">
          <v:rect id="_x0000_i1175" style="width:0;height:1.5pt" o:hralign="center" o:hrstd="t" o:hr="t" fillcolor="#a0a0a0" stroked="f"/>
        </w:pict>
      </w:r>
    </w:p>
    <w:p w14:paraId="68D7AC82" w14:textId="77777777" w:rsidR="00831A1F" w:rsidRPr="00831A1F" w:rsidRDefault="00831A1F" w:rsidP="00831A1F">
      <w:pPr>
        <w:jc w:val="both"/>
        <w:rPr>
          <w:b/>
          <w:bCs/>
        </w:rPr>
      </w:pPr>
      <w:r w:rsidRPr="00831A1F">
        <w:rPr>
          <w:b/>
          <w:bCs/>
        </w:rPr>
        <w:t>IV. Contribuições e legado</w:t>
      </w:r>
    </w:p>
    <w:p w14:paraId="3501F6FB" w14:textId="77777777" w:rsidR="00831A1F" w:rsidRPr="00831A1F" w:rsidRDefault="00831A1F" w:rsidP="00831A1F">
      <w:pPr>
        <w:jc w:val="both"/>
      </w:pPr>
      <w:r w:rsidRPr="00831A1F">
        <w:t>O artigo tem três contribuições principais que explicam sua importância duradoura na econometria de demanda:</w:t>
      </w:r>
    </w:p>
    <w:p w14:paraId="276CC969" w14:textId="77777777" w:rsidR="00831A1F" w:rsidRPr="00831A1F" w:rsidRDefault="00831A1F" w:rsidP="00831A1F">
      <w:pPr>
        <w:jc w:val="both"/>
      </w:pPr>
      <w:r w:rsidRPr="00831A1F">
        <w:rPr>
          <w:b/>
          <w:bCs/>
        </w:rPr>
        <w:t>Flexibilidade funcional</w:t>
      </w:r>
      <w:r w:rsidRPr="00831A1F">
        <w:t xml:space="preserve">: A </w:t>
      </w:r>
      <w:proofErr w:type="spellStart"/>
      <w:r w:rsidRPr="00831A1F">
        <w:t>translog</w:t>
      </w:r>
      <w:proofErr w:type="spellEnd"/>
      <w:r w:rsidRPr="00831A1F">
        <w:t xml:space="preserve"> é uma aproximação de segunda ordem a qualquer função de utilidade arbitrária, sem restringir a forma a priori. Isso permitiu, pela primeira vez, testar aditividade e homotetia em vez de assumi-las.</w:t>
      </w:r>
    </w:p>
    <w:p w14:paraId="13778CE6" w14:textId="77777777" w:rsidR="00831A1F" w:rsidRPr="00831A1F" w:rsidRDefault="00831A1F" w:rsidP="00831A1F">
      <w:pPr>
        <w:jc w:val="both"/>
      </w:pPr>
      <w:r w:rsidRPr="00831A1F">
        <w:rPr>
          <w:b/>
          <w:bCs/>
        </w:rPr>
        <w:t>Dualidade sistemática</w:t>
      </w:r>
      <w:r w:rsidRPr="00831A1F">
        <w:t xml:space="preserve">: O tratamento paralelo das formas direta e indireta tornou explícita a relação de dualidade entre sistemas de demanda direta e indireta. O artigo demonstra que o único </w:t>
      </w:r>
      <w:proofErr w:type="spellStart"/>
      <w:r w:rsidRPr="00831A1F">
        <w:t>translog</w:t>
      </w:r>
      <w:proofErr w:type="spellEnd"/>
      <w:r w:rsidRPr="00831A1F">
        <w:t xml:space="preserve"> </w:t>
      </w:r>
      <w:proofErr w:type="spellStart"/>
      <w:r w:rsidRPr="00831A1F">
        <w:t>autodual</w:t>
      </w:r>
      <w:proofErr w:type="spellEnd"/>
      <w:r w:rsidRPr="00831A1F">
        <w:t xml:space="preserve"> é o linear logarítmico, e que aditividade direta e indireta simultâneas requerem homotetia.</w:t>
      </w:r>
    </w:p>
    <w:p w14:paraId="6C651F88" w14:textId="77777777" w:rsidR="00831A1F" w:rsidRPr="00831A1F" w:rsidRDefault="00831A1F" w:rsidP="00831A1F">
      <w:pPr>
        <w:jc w:val="both"/>
      </w:pPr>
      <w:r w:rsidRPr="00831A1F">
        <w:rPr>
          <w:b/>
          <w:bCs/>
        </w:rPr>
        <w:t>Rejeição não-ambígua da demanda linear logarítmica</w:t>
      </w:r>
      <w:r w:rsidRPr="00831A1F">
        <w:t xml:space="preserve">: Os resultados desfazem uma ambiguidade que existia na literatura: os achados de </w:t>
      </w:r>
      <w:proofErr w:type="spellStart"/>
      <w:r w:rsidRPr="00831A1F">
        <w:t>Wold</w:t>
      </w:r>
      <w:proofErr w:type="spellEnd"/>
      <w:r w:rsidRPr="00831A1F">
        <w:t xml:space="preserve"> e </w:t>
      </w:r>
      <w:proofErr w:type="spellStart"/>
      <w:r w:rsidRPr="00831A1F">
        <w:t>Barten</w:t>
      </w:r>
      <w:proofErr w:type="spellEnd"/>
      <w:r w:rsidRPr="00831A1F">
        <w:t xml:space="preserve"> poderiam ser lidos tanto como rejeição da teoria da demanda quanto como rejeição da forma </w:t>
      </w:r>
      <w:r w:rsidRPr="00831A1F">
        <w:lastRenderedPageBreak/>
        <w:t xml:space="preserve">funcional linear-log. Com o </w:t>
      </w:r>
      <w:proofErr w:type="spellStart"/>
      <w:r w:rsidRPr="00831A1F">
        <w:t>translog</w:t>
      </w:r>
      <w:proofErr w:type="spellEnd"/>
      <w:r w:rsidRPr="00831A1F">
        <w:t>, os autores testam as duas hipóteses separadamente e concluem que a teoria da demanda em si é rejeitada pelos dados norte-americanos.</w:t>
      </w:r>
    </w:p>
    <w:p w14:paraId="7E778549" w14:textId="77777777" w:rsidR="00831A1F" w:rsidRPr="00831A1F" w:rsidRDefault="00831A1F" w:rsidP="00831A1F">
      <w:pPr>
        <w:jc w:val="both"/>
      </w:pPr>
      <w:r w:rsidRPr="00831A1F">
        <w:t xml:space="preserve">O modelo tornou-se a base do trabalho posterior de </w:t>
      </w:r>
      <w:proofErr w:type="spellStart"/>
      <w:r w:rsidRPr="00831A1F">
        <w:t>Jorgenson</w:t>
      </w:r>
      <w:proofErr w:type="spellEnd"/>
      <w:r w:rsidRPr="00831A1F">
        <w:t xml:space="preserve"> e coautores sobre sistemas de demanda com agregação exata (o modelo TLES), e uma referência obrigatória nos textos de econometria de demanda do consumidor.</w:t>
      </w:r>
    </w:p>
    <w:p w14:paraId="01F73977" w14:textId="77777777" w:rsidR="00652375" w:rsidRPr="00831A1F" w:rsidRDefault="00652375" w:rsidP="00C92749">
      <w:pPr>
        <w:jc w:val="both"/>
      </w:pPr>
    </w:p>
    <w:sectPr w:rsidR="00652375" w:rsidRPr="00831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6"/>
  </w:num>
  <w:num w:numId="2" w16cid:durableId="420641952">
    <w:abstractNumId w:val="4"/>
  </w:num>
  <w:num w:numId="3" w16cid:durableId="1473600929">
    <w:abstractNumId w:val="2"/>
  </w:num>
  <w:num w:numId="4" w16cid:durableId="1752894155">
    <w:abstractNumId w:val="5"/>
  </w:num>
  <w:num w:numId="5" w16cid:durableId="728500294">
    <w:abstractNumId w:val="0"/>
  </w:num>
  <w:num w:numId="6" w16cid:durableId="256912926">
    <w:abstractNumId w:val="3"/>
  </w:num>
  <w:num w:numId="7" w16cid:durableId="24827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305F92"/>
    <w:rsid w:val="003C6A87"/>
    <w:rsid w:val="00652375"/>
    <w:rsid w:val="006B7E4C"/>
    <w:rsid w:val="007B5240"/>
    <w:rsid w:val="00831A1F"/>
    <w:rsid w:val="008D3628"/>
    <w:rsid w:val="00A17ECD"/>
    <w:rsid w:val="00A827CF"/>
    <w:rsid w:val="00B322D0"/>
    <w:rsid w:val="00B619C1"/>
    <w:rsid w:val="00C92749"/>
    <w:rsid w:val="00E17EA5"/>
    <w:rsid w:val="00E3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1122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5</cp:revision>
  <dcterms:created xsi:type="dcterms:W3CDTF">2026-04-13T14:52:00Z</dcterms:created>
  <dcterms:modified xsi:type="dcterms:W3CDTF">2026-04-13T15:06:00Z</dcterms:modified>
</cp:coreProperties>
</file>