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Entry and Competition in Concentrated Markets</w:t>
      </w:r>
    </w:p>
    <w:p>
      <w:pPr>
        <w:pStyle w:val="Heading1"/>
      </w:pPr>
      <w:r>
        <w:t>1. Motivação e Problema de Pesquisa</w:t>
      </w:r>
    </w:p>
    <w:p>
      <w:r>
        <w:t>QUESTÃO CENTRAL:</w:t>
        <w:br/>
        <w:t>Como a entrada de firmas afeta a conduta competitiva em mercados oligopolísticos concentrados? Modelos de mercados contestáveis argumentam que mesmo a ameaça de entrada disciplina firmas; teorias de barreiras à entrada defendem que apenas a entrada efetiva importa. O artigo desenvolve um arcabouço empírico para discriminar entre essas teorias a partir de dados de estrutura de mercado, sem observar margens preço-custo diretamente.</w:t>
        <w:br/>
        <w:br/>
        <w:t>ESTRATÉGIA:</w:t>
        <w:br/>
        <w:t>Estimar limiares de entrada (entry thresholds) — o tamanho mínimo de mercado para suportar N firmas em equilíbrio de longo prazo. Razões entre limiares sucessivos revelam quanto a conduta muda com cada entrante adicional, sem necessidade de dados de preços ou quantidades.</w:t>
        <w:br/>
        <w:br/>
        <w:t>EXTENSÃO EM RELAÇÃO A BRESNAHAN E REISS (1990):</w:t>
        <w:br/>
        <w:t>(1) Custos médios em forma de U (vs. custo marginal constante no artigo anterior)</w:t>
        <w:br/>
        <w:t>(2) Limiares para N = 1, 2, 3, 4 e 5+ firmas (vs. apenas N = 1 e 2)</w:t>
        <w:br/>
        <w:t>(3) Validação com dados de preços na indústria de revendedores de pneus</w:t>
        <w:br/>
        <w:br/>
        <w:t>CONTRIBUIÇÃO:</w:t>
        <w:br/>
        <w:t>Evidência de que a intensificação competitiva ocorre principalmente com a entrada do segundo e terceiro concorrentes. A partir de 3-5 firmas, o mercado é aproximadamente competitivo — resultado confirmado pelos dados de preços.</w:t>
      </w:r>
    </w:p>
    <w:p>
      <w:pPr>
        <w:pStyle w:val="Heading1"/>
      </w:pPr>
      <w:r>
        <w:t>2. Arcabouço Teórico: Limiares com Custos em Forma de U</w:t>
      </w:r>
    </w:p>
    <w:p>
      <w:r>
        <w:t>DEMANDA DE MERCADO:</w:t>
        <w:br/>
        <w:t xml:space="preserve">   Q = S(Y) * d(Z, P)</w:t>
        <w:br/>
        <w:br/>
        <w:t>S(Y) = número de consumidores (escala de mercado), d(Z, P) = demanda por consumidor representativo. A especificação implica que a demanda total é proporcional a S: dobrar o mercado dobra a demanda para qualquer preço.</w:t>
        <w:br/>
        <w:br/>
        <w:t>TECNOLOGIA DE CUSTOS (extensão em relação a 1990):</w:t>
        <w:br/>
        <w:t xml:space="preserve">   Custo total = F(W) + AVC(q, W) * q</w:t>
        <w:br/>
        <w:br/>
        <w:t>Custos médios em forma de U: declinam inicialmente por custos fixos F; sobem pelo custo marginal crescente. Isso permite identificar separadamente os efeitos de entrada sobre lucros variáveis V_N e custos fixos F_N.</w:t>
        <w:br/>
        <w:br/>
        <w:t>LIMIAR DE ENTRADA DA N-ÉSIMA FIRMA:</w:t>
        <w:br/>
        <w:t>No equilíbrio de longo prazo, a N-ésima firma tem lucro zero:</w:t>
        <w:br/>
        <w:t xml:space="preserve">   S_N = (F_N + B_N) / (N * (P_N - AVC_N - b_N) * d_N)</w:t>
        <w:br/>
        <w:br/>
        <w:t>F_N = custos fixos do monopolista; B_N &gt;= 0 captura custos fixos adicionais de entrantes tardios (barreiras à entrada ou ineficiências); b_N &gt;= 0 captura custos variáveis adicionais. Holding costs fixed: s_N decresce com lucros variáveis maiores.</w:t>
        <w:br/>
        <w:br/>
        <w:t>RAZÕES DE LIMIAR — MEDIDA ESCALA-LIVRE DE CONDUTA:</w:t>
        <w:br/>
        <w:t xml:space="preserve">   s_{N+1}/s_N = [(F_{N+1}+B_{N+1}) / (F_N+B_N)] * [V_N / V_{N+1}]</w:t>
        <w:br/>
        <w:br/>
        <w:t>onde V_N = (P_N - AVC_N - b_N) * d_N são os lucros variáveis por cliente.</w:t>
        <w:br/>
        <w:br/>
        <w:t>Interpretação:</w:t>
        <w:br/>
        <w:t>- s_{N+1}/s_N = 1: entrada não muda conduta (V_{N+1} = V_N)</w:t>
        <w:br/>
        <w:t>- s_{N+1}/s_N &gt; 1: entrada intensifica competição (V_{N+1} &lt; V_N)</w:t>
        <w:br/>
        <w:br/>
        <w:t>TABELA 1 DO ARTIGO (simulação Cournot-Nash: P = a - b*Q/S; C = F + mq + kq²):</w:t>
        <w:br/>
        <w:t>Para k = 0 (CMg constante): razões declinam lentamente com N.</w:t>
        <w:br/>
        <w:t>Para k &gt; 0 (CMg crescente): razões declinam mais rapidamente.</w:t>
        <w:br/>
        <w:t>Padrão geral: razões declinam a taxas decrescentes à medida que N cresce — convergência gradual da conduta para o nível competitivo.</w:t>
      </w:r>
    </w:p>
    <w:p>
      <w:pPr>
        <w:pStyle w:val="Heading1"/>
      </w:pPr>
      <w:r>
        <w:t>3. Modelo Econométrico: Probit Ordenado Estrutural</w:t>
      </w:r>
    </w:p>
    <w:p>
      <w:r>
        <w:t>FUNÇÃO DE LUCRO DA N-ÉSIMA FIRMA:</w:t>
        <w:br/>
        <w:t xml:space="preserve">   pi_N = alpha_0 + alpha_N * ln(S) + X'*beta + W'*gamma + epsilon</w:t>
        <w:br/>
        <w:br/>
        <w:t>alpha_N = V_N captura os lucros variáveis por cliente; as diferenças alpha_N - alpha_{N-1} &gt;= 0 medem a queda de lucros com a entrada. X = variáveis de demanda (demografia), W = proxies de custo.</w:t>
        <w:br/>
        <w:br/>
        <w:t>TAMANHO DE MERCADO S(Y, lambda):</w:t>
        <w:br/>
        <w:t xml:space="preserve">   S = TPOP + lambda_1*OPOP + lambda_2*PGRW + lambda_3*NGRW + lambda_4*OCTY</w:t>
        <w:br/>
        <w:br/>
        <w:t>TPOP = população da cidade; OPOP = pop. próxima (10 milhas); PGRW/NGRW = crescimento 1970-80 positivo/negativo; OCTY = trabalhadores pendulares saindo do condado (proxy de vazamento de demanda).</w:t>
        <w:br/>
        <w:br/>
        <w:t>LUCROS VARIÁVEIS E CUSTOS FIXOS:</w:t>
        <w:br/>
        <w:t xml:space="preserve">   V_N = alpha_0 + X*beta   (decrescente em N)</w:t>
        <w:br/>
        <w:t xml:space="preserve">   F_N = gamma_1 + gamma_L * W_L   (crescente em N)</w:t>
        <w:br/>
        <w:br/>
        <w:t>O mercado tem N firmas quando pi_N &gt; 0 e pi_{N+1} &lt; 0. Com epsilon ~ N(0, sigma²) i.i.d. entre mercados, obtém-se um PROBIT ORDENADO com N_i em {0, 1, 2, 3, 4, 5+}.</w:t>
        <w:br/>
        <w:br/>
        <w:t>PROBABILIDADES DO PROBIT ORDENADO:</w:t>
        <w:br/>
        <w:t xml:space="preserve">   Pr(N_i = 0) = 1 - Phi(pi_1)</w:t>
        <w:br/>
        <w:t xml:space="preserve">   Pr(N_i = N) = Phi(pi_N) - Phi(pi_{N+1}),   N = 1, 2, 3, 4</w:t>
        <w:br/>
        <w:t xml:space="preserve">   Pr(N_i &gt;= 5) = Phi(pi_5)</w:t>
        <w:br/>
        <w:br/>
        <w:t>Estimação por MLE. Cada indústria tem 19 parâmetros: 4 em X, 4 em W, 5 alpha_N e 6 gamma_N. Restrições: alpha_N &gt;= 0 (lucros não crescem com N) e gamma_N &gt;= 0 (custos fixos não decrescem).</w:t>
      </w:r>
    </w:p>
    <w:p>
      <w:pPr>
        <w:pStyle w:val="Heading1"/>
      </w:pPr>
      <w:r>
        <w:t>4. Dados: 202 Mercados Locais Isolados</w:t>
      </w:r>
    </w:p>
    <w:p>
      <w:r>
        <w:t>SELEÇÃO DA AMOSTRA:</w:t>
        <w:br/>
        <w:t>202 municípios-sede isolados no oeste dos EUA. Critérios:</w:t>
        <w:br/>
        <w:t>- &gt;= 20 milhas da cidade mais próxima com 1.000+ habitantes</w:t>
        <w:br/>
        <w:t>- Excluídas cidades dentro de 100 milhas de centros com 100.000+ hab.</w:t>
        <w:br/>
        <w:t>Isolamento garante que as firmas observadas são os únicos ofertantes relevantes.</w:t>
        <w:br/>
        <w:br/>
        <w:t>INDÚSTRIAS FINAIS (de 16 candidatas):</w:t>
        <w:br/>
        <w:t>Médicos (DOCS): média 3,4 firmas/mercado, máx 45</w:t>
        <w:br/>
        <w:t>Dentistas (DENTS): média 2,6, máx 17</w:t>
        <w:br/>
        <w:t>Farmacêuticos/drogistas (DRUG): média 1,9, máx 11</w:t>
        <w:br/>
        <w:t>Encanadores (PLUM): média 2,2, máx 25</w:t>
        <w:br/>
        <w:t>Revendedores de pneus (TIRE): média 2,6, máx 13</w:t>
        <w:br/>
        <w:t>Descartadas: barbeiros, optometristas, cosmetólogos, eletricistas, etc. (menos de 10 obs. por classe de tamanho de mercado)</w:t>
        <w:br/>
        <w:br/>
        <w:t>VARIÁVEIS POPULACIONAIS (médias amostrais):</w:t>
        <w:br/>
        <w:t xml:space="preserve">   TPOP = 3.740 hab. (dp: 5.350; range: 120-45.090)</w:t>
        <w:br/>
        <w:t xml:space="preserve">   OPOP = 410 hab. próximos; PGRW = +490 hab.; NGRW = -60 hab.</w:t>
        <w:br/>
        <w:t xml:space="preserve">   OCTY = 320 trabalhadores pendulares saindo</w:t>
        <w:br/>
        <w:br/>
        <w:t>VARIÁVEIS DEMOGRÁFICAS:</w:t>
        <w:br/>
        <w:t xml:space="preserve">   BIRTHS = 0,02 (nascimentos/pop.); ELD = 0,13 (idosos 65+/pop.)</w:t>
        <w:br/>
        <w:t xml:space="preserve">   PINC = $5.910 per capita; LANDV = $300/acre (proxy de custo)</w:t>
        <w:br/>
        <w:br/>
        <w:t>Firmas identificadas via American Business Lists e telefones. Múltiplas práticas no mesmo endereço/telefone = 1 firma multipessoal.</w:t>
      </w:r>
    </w:p>
    <w:p>
      <w:pPr>
        <w:pStyle w:val="Heading1"/>
      </w:pPr>
      <w:r>
        <w:t>5. Resultados: Razões de Limiares por Indústria</w:t>
      </w:r>
    </w:p>
    <w:p>
      <w:r>
        <w:t>LIMIARES DE MONOPÓLIO (s_1 — tamanho mínimo para 1 firma):</w:t>
        <w:br/>
        <w:t xml:space="preserve">   Pneus e drogistas: ~500 habitantes</w:t>
        <w:br/>
        <w:t xml:space="preserve">   Médicos e dentistas: 700–900 habitantes</w:t>
        <w:br/>
        <w:t xml:space="preserve">   Encanadores: &gt; 1.500 habitantes (mais do dobro de médicos/dentistas)</w:t>
        <w:br/>
        <w:br/>
        <w:t>RAZÕES DE LIMIARES SUCESSIVOS s_{N+1}/s_N (Tabela 6 do artigo):</w:t>
        <w:br/>
        <w:t xml:space="preserve">   Médicos:     s2/s1=1,56   s3/s2=1,11   s4/s3=1,02   s5/s4=1,08</w:t>
        <w:br/>
        <w:t xml:space="preserve">   Dentistas:   s2/s1=1,51   s3/s2=1,10   s4/s3=0,98   s5/s4=1,01</w:t>
        <w:br/>
        <w:t xml:space="preserve">   Drogistas:   s2/s1=1,68   s3/s2=1,55   s4/s3=1,16   s5/s4=1,09</w:t>
        <w:br/>
        <w:t xml:space="preserve">   Encanadores: s2/s1=0,99   s3/s2=0,99   s4/s3=1,07   s5/s4=1,08</w:t>
        <w:br/>
        <w:t xml:space="preserve">   Pneus:       s2/s1=1,32   s3/s2=1,24   s4/s3=1,07   s5/s4=1,11</w:t>
        <w:br/>
        <w:br/>
        <w:t>PADRÃO CENTRAL (Figura 4 do artigo — s5/s_N por N):</w:t>
        <w:br/>
        <w:t>A razão s5/s_N é próxima de 1 para N &gt; 2 em todas as indústrias:</w:t>
        <w:br/>
        <w:t>(i) A maior mudança de conduta ocorre na transição monopólio → duopólio (s2/s1 &gt;&gt; 1)</w:t>
        <w:br/>
        <w:t>(ii) O declínio para abruptamente em N = 3: s3 ≈ s4 ≈ s5</w:t>
        <w:br/>
        <w:t>(iii) Testes LR rejeitam igualdade dos limiares do monopólio ao quintopólio, mas não rejeitam igualdade para N = 3, 4, 5 (exceto dentistas)</w:t>
        <w:br/>
        <w:br/>
        <w:t>EXCEÇÃO — REVENDEDORES DE AUTOMÓVEIS:</w:t>
        <w:br/>
        <w:t>Razão s4/s3 permanece alta porque o 4º entrante é tipicamente um segundo revendedor GM — primeiro competidor intramarca, o que intensifica abruptamente a concorrência.</w:t>
        <w:br/>
        <w:br/>
        <w:t>ROBUSTEZ:</w:t>
        <w:br/>
        <w:t>Padrões confirmados com amostras mais isoladas (&gt;40 milhas) e com categoria residual de 4+ firmas (8 indústrias). Amostras menos isoladas (condados &lt;10.000 hab.) apresentam razões menores — consistente com vazamento de demanda para mercados próximos.</w:t>
      </w:r>
    </w:p>
    <w:p>
      <w:pPr>
        <w:pStyle w:val="Heading1"/>
      </w:pPr>
      <w:r>
        <w:t>6. Validação com Preços de Pneus</w:t>
      </w:r>
    </w:p>
    <w:p>
      <w:r>
        <w:t>MOTIVAÇÃO:</w:t>
        <w:br/>
        <w:t>Limiares de entrada elevados podem refletir maior competição OU maiores barreiras à entrada. Dados de preços permitem discriminar entre essas explicações.</w:t>
        <w:br/>
        <w:br/>
        <w:t>COLETA DE DADOS (inverno de 1990):</w:t>
        <w:br/>
        <w:t>165 revendedores de pneus no oeste dos EUA, mais um mercado urbano (Baía de San Francisco como benchmark competitivo). Ligações telefônicas solicitando preço de quatro pneus radiais 175-80-R13 (com montagem e balanceamento, sem impostos). Coletados: mileage rating, marca e classificação NHTSA para controle de qualidade.</w:t>
        <w:br/>
        <w:br/>
        <w:t>ESTATÍSTICAS DESCRITIVAS POR ESTRUTURA DE MERCADO (Tabela 10 — preços médios):</w:t>
        <w:br/>
        <w:t xml:space="preserve">   N=1: $54,90   N=2: $55,70   N=3: $54,40</w:t>
        <w:br/>
        <w:t xml:space="preserve">   N=4: $51,60   N=5: $52,00   Mercado urbano: $45,60</w:t>
        <w:br/>
        <w:br/>
        <w:t>REGRESSÃO DE PREÇOS OLS (Tabela 11, N=282):</w:t>
        <w:br/>
        <w:t>Especificação: P = dummies de estrutura + mileage rating + salário de varejo + dummies de marca (11 marcas) — controla qualidade e custos.</w:t>
        <w:br/>
        <w:br/>
        <w:t>RESULTADOS:</w:t>
        <w:br/>
        <w:t>- Não se rejeita H₀: alpha_1 = alpha_2 (preços no monopólio ≈ duopólio)</w:t>
        <w:br/>
        <w:t>- Não se rejeita H₀: alpha_3 = alpha_4 = alpha_5 (triop.-quintop. similares)</w:t>
        <w:br/>
        <w:t>- Rejeita-se H₀: alpha_1 = ... = alpha_5 (F-stat significativo a 5%)</w:t>
        <w:br/>
        <w:t>- Preço cai ~8% do monopólio ao quintopólio</w:t>
        <w:br/>
        <w:t>- Mercado urbano: preços 20% abaixo do quintopólio</w:t>
        <w:br/>
        <w:br/>
        <w:t>CONCLUSÃO: preços convergem com a entrada do 2º e 3º firmas, depois estabilizam — padrão idêntico ao dos limiares. Oligopólios permanecem acima do nível competitivo mesmo após convergência dos limiares.</w:t>
      </w:r>
    </w:p>
    <w:p>
      <w:pPr>
        <w:pStyle w:val="Heading1"/>
      </w:pPr>
      <w:r>
        <w:t>7. Conclusão e Legado</w:t>
      </w:r>
    </w:p>
    <w:p>
      <w:r>
        <w:t>SÍNTESE:</w:t>
        <w:br/>
        <w:t>(1) A conduta competitiva muda rapidamente com a entrada: o maior efeito ocorre com o 2º e 3º entrante</w:t>
        <w:br/>
        <w:t>(2) Entre 3 e 5 firmas, o próximo entrante tem pequeno efeito adicional — mercado aproximadamente competitivo</w:t>
        <w:br/>
        <w:t>(3) Dados de preços de pneus confirmam: preços caem no triop.-quintop. mas permanecem acima de mercados urbanos competitivos</w:t>
        <w:br/>
        <w:t>(4) Heterogeneidade entre indústrias: encanadores têm razões ~ 1 em todos os N; profissionais de saúde e drogistas têm maiores razões na transição monop.→duop.</w:t>
        <w:br/>
        <w:br/>
        <w:t>VANTAGENS DO MÉTODO:</w:t>
        <w:br/>
        <w:t>(a) Não requer dados de preço ou quantidade — apenas número de firmas e tamanho</w:t>
        <w:br/>
        <w:t>(b) Torna explícitas as hipóteses implícitas de modelos de conduta</w:t>
        <w:br/>
        <w:t>(c) Pode ser combinado com dados de margem para identificar F_N e V_N separadamente</w:t>
        <w:br/>
        <w:br/>
        <w:t>LIMITAÇÕES:</w:t>
        <w:br/>
        <w:t>- Requer mercados isolados e equilíbrio de longo prazo na amostra</w:t>
        <w:br/>
        <w:t>- Não distingue mudança de conduta de diferenças de custo entre entrantes</w:t>
        <w:br/>
        <w:t>- Não considera mercados sobrepostos nem o timing de entrada e saída</w:t>
        <w:br/>
        <w:br/>
        <w:t>LEGADO:</w:t>
        <w:br/>
        <w:t>Com Bresnahan e Reiss (1990), estabeleceu a metodologia-padrão de limiares de entrada em OI empírica. Fundamentos diretos para:</w:t>
        <w:br/>
        <w:t>(a) Berry (1992) — extensão para companhias aéreas com produtos diferenciados</w:t>
        <w:br/>
        <w:t>(b) Berry, Levinsohn e Pakes (1995) — modelos estruturais de demanda</w:t>
        <w:br/>
        <w:t>(c) Ericson e Pakes (1995) — modelos de entrada dinâmica</w:t>
        <w:br/>
        <w:t>(d) Aguirregabiria e Mira (2007) — estimação de jogos de entrada dinâmicos</w:t>
        <w:br/>
        <w:t>Base para política antitruste: oligopólios com 3-5 rivais podem ser aproximadamente competitivos quando há livre entrada.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