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Empirical Models of Entry and Market Structure</w:t>
      </w:r>
    </w:p>
    <w:p>
      <w:pPr>
        <w:pStyle w:val="Heading1"/>
      </w:pPr>
      <w:r>
        <w:t>1. Motivação e Estrutura do Capítulo</w:t>
      </w:r>
    </w:p>
    <w:p>
      <w:r>
        <w:t>OBJETIVO DO CAPÍTULO:</w:t>
        <w:br/>
        <w:t>Surveiar os modelos econométricos estruturais de estrutura de mercado, entrada e saída em OI empírica. O capítulo foca em modelos de equilíbrio que interpretam a variação cross-seccional no número de firmas ou nas taxas de rotatividade de firmas. Publicado no Handbook of Industrial Organization, Vol. III.</w:t>
        <w:br/>
        <w:br/>
        <w:t>POR QUE MODELOS ESTRUTURAIS?</w:t>
        <w:br/>
        <w:t>(1) Permitem estimar quantidades não observáveis: custos fixos, retornos variáveis, natureza da competição — impossíveis de recuperar com modelos descritivos</w:t>
        <w:br/>
        <w:t>(2) Endogenizam o número de firmas N (ao contrário da literatura de poder de mercado)</w:t>
        <w:br/>
        <w:t>(3) Baseiam-se em preferência revelada: decisões de entrada revelam lucratividade subjacente — análogo a modelos de escolha discreta do consumidor</w:t>
        <w:br/>
        <w:t>(4) Variáveis que afetam N fornecem instrumentos para o número de firmas na equação de oferta</w:t>
        <w:br/>
        <w:br/>
        <w:t>DIFERENÇAS DA LITERATURA DE PODER DE MERCADO:</w:t>
        <w:br/>
        <w:t>(i) Poder de mercado trata estrutura como exógena; modelos de entrada a endogenizam</w:t>
        <w:br/>
        <w:t>(ii) Modelos de entrada estimam custos fixos e afundados (irrecuperáveis)</w:t>
        <w:br/>
        <w:t>(iii) Modelos de entrada podem ser aplicados sem dados de preço e quantidade</w:t>
        <w:br/>
        <w:br/>
        <w:t>ESTRUTURA DO CAPÍTULO:</w:t>
        <w:br/>
        <w:t>(1) Jogos de entrada com firmas homogêneas</w:t>
        <w:br/>
        <w:t>(2) Especificação estrutural de V(N): demanda, custos e conduta</w:t>
        <w:br/>
        <w:t>(3) Heterogeneidade de firmas e problemas de múltiplos equilíbrios</w:t>
        <w:br/>
        <w:t>(4) Soluções: entrada sequencial, equilíbrios eficientes, estimação de probabilidades</w:t>
        <w:br/>
        <w:t>(5) Informação incompleta: QRE e modelos de localização</w:t>
        <w:br/>
        <w:t>(6) Identificação por limites (set identification)</w:t>
        <w:br/>
        <w:t>(7) Extensões: auctions, dinâmica</w:t>
      </w:r>
    </w:p>
    <w:p>
      <w:pPr>
        <w:pStyle w:val="Heading1"/>
      </w:pPr>
      <w:r>
        <w:t>2. Modelo Base com Firmas Homogêneas</w:t>
      </w:r>
    </w:p>
    <w:p>
      <w:r>
        <w:t>CONFIGURAÇÃO:</w:t>
        <w:br/>
        <w:t>M entrantes potenciais idênticos; firma entra se V(N,x,theta) - F &gt;= 0. O pesquisador observa N e x, mas não theta ou F. Equilíbrio com N* firmas:</w:t>
        <w:br/>
        <w:t xml:space="preserve">   V(N*, x, theta) &gt;= F &gt; V(N*+1, x, theta)   [condições de limiar]</w:t>
        <w:br/>
        <w:br/>
        <w:t>FUNÇÃO DE LUCRO GERAL:</w:t>
        <w:br/>
        <w:t xml:space="preserve">   pi(N) = V(N, x, theta) - F_i</w:t>
        <w:br/>
        <w:t xml:space="preserve">   V(N,.) = lucros variáveis (decrescentes em N)</w:t>
        <w:br/>
        <w:t xml:space="preserve">   F_i = custo fixo (heterogêneo entre mercados, não observado pelo pesquisador)</w:t>
        <w:br/>
        <w:br/>
        <w:t>VEROSSIMILHANÇA ORDENADA:</w:t>
        <w:br/>
        <w:t>Se F_i ~ Phi(F|x, omega), a probabilidade de observar N* firmas é:</w:t>
        <w:br/>
        <w:t xml:space="preserve">   Pr(N*) = Phi(V(N*,x,theta)|x) - Phi(V(N*+1,x,theta)|x)</w:t>
        <w:br/>
        <w:br/>
        <w:t>Isso gera um probit (ou logit) ordenado se F_i ~ N(0,sigma²) (ou Gumbel). A verossimilhança agregada para uma cross-section independente de mercados é:</w:t>
        <w:br/>
        <w:t xml:space="preserve">   L(theta, omega | {x,N*}) = soma_i [ln(Phi(V(N*_i)) - Phi(V(N*_i+1)))]</w:t>
        <w:br/>
        <w:br/>
        <w:t>IMPLICAÇÕES DE IDENTIFICAÇÃO:</w:t>
        <w:br/>
        <w:t>(1) Para recuperar theta, é preciso fazer suposições distributivas sobre F — a economia fornece pouca orientação sobre a distribuição dos custos fixos</w:t>
        <w:br/>
        <w:t>(2) A variação em x (especialmente no tamanho de mercado S) é essencial para identificar theta separadamente de F</w:t>
        <w:br/>
        <w:t>(3) Sem variação em x, pode-se no máximo colocar intervalos (bounds) em theta</w:t>
        <w:br/>
        <w:t>(4) Pesquisadores devem explorar sensibilidade a suposições distributivas alternativas</w:t>
        <w:br/>
        <w:br/>
        <w:t>DERIVAÇÃO ESTRUTURAL (Exemplo — demanda linear, Cournot):</w:t>
        <w:br/>
        <w:t xml:space="preserve">   Q = S*(alpha - beta*P)   e   TC(q) = F + c*q - d*q²</w:t>
        <w:br/>
        <w:t xml:space="preserve">   Preço de equilíbrio: P* = a - N*(a-c)/(N+1+2*S*d/b)</w:t>
        <w:br/>
        <w:t xml:space="preserve">   Lucro variável: V(N,S,theta) = theta_1 * S² * (1+theta_2*S) / (N+1+2*theta_2*S)²</w:t>
        <w:br/>
        <w:t>Condição de limiar (com d=0): ln(N+2) &gt; 0.5*(ln(theta_1²*S) - ln(F)) &gt;= ln(N+1)</w:t>
        <w:br/>
        <w:t>=&gt; identificação de theta_1 (demanda) a partir de variação em S e N.</w:t>
      </w:r>
    </w:p>
    <w:p>
      <w:pPr>
        <w:pStyle w:val="Heading1"/>
      </w:pPr>
      <w:r>
        <w:t>3. Especificação de V(N) e Limiares de Entrada (Bresnahan-Reiss)</w:t>
      </w:r>
    </w:p>
    <w:p>
      <w:r>
        <w:t>ESPECIFICAÇÃO DESCRITIVA (Bresnahan e Reiss 1988, 1990, 1991b):</w:t>
        <w:br/>
        <w:t xml:space="preserve">   V(N*, S, theta) = S * (theta_1 + SOMA_{k=2}^{M} theta_k * D_k + x' * theta_{M+1})</w:t>
        <w:br/>
        <w:br/>
        <w:t>onde D_k = 1 se ao menos k firmas entraram. Os parâmetros theta_2,...,theta_M descrevem como os lucros variáveis caem com a entrada de cada firma adicional — sem impor estrutura paramétrica sobre a função de demanda ou custos.</w:t>
        <w:br/>
        <w:br/>
        <w:t>LIMIARES DE ENTRADA:</w:t>
        <w:br/>
        <w:t xml:space="preserve">   S_N* = F_bar / V(N)   [tamanho mínimo de mercado para N firmas]</w:t>
        <w:br/>
        <w:t xml:space="preserve">   Limiar por firma: s_N = S_N / N   [tamanho per capita mínimo]</w:t>
        <w:br/>
        <w:t xml:space="preserve">   Razão de limiares: S_{N+1} / S_N   [medida escala-livre de mudança de conduta]</w:t>
        <w:br/>
        <w:br/>
        <w:t>Sob mercados contestáveis OU cartelização: S_{N+1}/S_N = 1 (ambos implicam a mesma razão!). A razão não distingue os dois extremos sem informação adicional sobre preços/quantidades.</w:t>
        <w:br/>
        <w:br/>
        <w:t>TABELA 1 DO CAPÍTULO (limiares de Bresnahan-Reiss 1991b):</w:t>
        <w:br/>
        <w:t xml:space="preserve">   Médicos:     S2/S1=1,98   S3/S2=1,10   S4/S3=1,00   S5/S4=0,95</w:t>
        <w:br/>
        <w:t xml:space="preserve">   Dentistas:   S2/S1=1,78   S3/S2=0,79   S4/S3=0,97   S5/S4=0,94</w:t>
        <w:br/>
        <w:t xml:space="preserve">   Drogistas:   S2/S1=1,99   S3/S2=1,58   S4/S3=1,14   S5/S4=0,98</w:t>
        <w:br/>
        <w:t xml:space="preserve">   Encanadores: S2/S1=1,06   S3/S2=1,00   S4/S3=1,02   S5/S4=0,96</w:t>
        <w:br/>
        <w:t xml:space="preserve">   Pneus:       S2/S1=1,81   S3/S2=1,28   S4/S3=1,04   S5/S4=1,03</w:t>
        <w:br/>
        <w:t>Razões declinam para 1 com N crescente — conduta se aproxima do competitivo.</w:t>
        <w:br/>
        <w:br/>
        <w:t>APLICAÇÃO: RÁDIO (Berry e Waldfogel 1999):</w:t>
        <w:br/>
        <w:t>Modelo com firmas homogêneas de rádio. Ouvintes escolhem entre estações por logit; ln(L_i/(1-L_i)) = x_i*beta + (1-sigma)*ln(N_i) + xi_i. Anunciantes: ln(p_i) = x_i*gamma - eta*ln(L_i) + omega_i. Custos fixos recuperados da condição de entrada R(N+1,x) &lt; F &lt; R(N,x). Resultado: excesso de entrada em muitos mercados (custo fixo da entrante marginal excede benefício social de ouvintes adicionais).</w:t>
      </w:r>
    </w:p>
    <w:p>
      <w:pPr>
        <w:pStyle w:val="Heading1"/>
      </w:pPr>
      <w:r>
        <w:t>4. Heterogeneidade de Firmas: Múltiplos Equilíbrios</w:t>
      </w:r>
    </w:p>
    <w:p>
      <w:r>
        <w:t>PROBLEMA CENTRAL:</w:t>
        <w:br/>
        <w:t>Com firmas heterogêneas, podem existir múltiplos equilíbrios de Nash puros, ou mesmo inexistência de equilíbrio puro — o que complica a construção da função de verossimilhança.</w:t>
        <w:br/>
        <w:br/>
        <w:t>JOGO 2×2 COM DUAS FIRMAS POTENCIAIS:</w:t>
        <w:br/>
        <w:t>Firma j tem lucro: pi_j(D_j, D_k) = D_j*(pi_j_bar(x,z_j) + epsilon_j) onde pi_j_bar difere como monopolista (pi^M) ou duopolista (pi^D &lt; pi^M).</w:t>
        <w:br/>
        <w:br/>
        <w:t>Quatro resultados possíveis (Tabela 2):</w:t>
        <w:br/>
        <w:t xml:space="preserve">   N=0: pi^M_1 &lt; 0 e pi^M_2 &lt; 0</w:t>
        <w:br/>
        <w:t xml:space="preserve">   Monopolio firma 1: pi^M_1 &gt; 0, pi^D_2 &lt; 0</w:t>
        <w:br/>
        <w:t xml:space="preserve">   Monopolio firma 2: pi^M_2 &gt; 0, pi^D_1 &lt; 0</w:t>
        <w:br/>
        <w:t xml:space="preserve">   Duopólio: pi^D_1 &gt; 0 e pi^D_2 &gt; 0</w:t>
        <w:br/>
        <w:br/>
        <w:t>REGIÃO DE MÚLTIPLOS EQUILÍBRIOS:</w:t>
        <w:br/>
        <w:t>Quando pi^M_1 &gt; 0, pi^M_2 &gt; 0, pi^D_1 &lt; 0 E pi^D_2 &lt; 0 (centro do espaço de parâmetros), qualquer uma das duas firmas pode ser monopolista — dois equilíbrios de Nash puros. Nesta região, o modelo é incompleto: não faz predição única sobre qual resultado ocorre.</w:t>
        <w:br/>
        <w:br/>
        <w:t>CONSEQUÊNCIA PARA MODELOS PROBIT/LOGIT PADRÃO:</w:t>
        <w:br/>
        <w:t>Probit convencional assume que j entra se pi_j_bar &gt; -epsilon_j, ignorando que a firma rival pode preemptá-la. Na região norte (acima da diagonal): firma 2 tem lucro positivo mesmo como duopolista, poderia forçar firma 1 a sair. O probit ignora essa interação estratégica — é inadequado para firmas heterogêneas.</w:t>
        <w:br/>
        <w:br/>
        <w:t>EXTENSÃO PARA N FIRMAS:</w:t>
        <w:br/>
        <w:t>Equilíbrio Nash D* = {D*_1,...,D*_N} requer:</w:t>
        <w:br/>
        <w:t xml:space="preserve">   D*_j * pi_j(D*) &gt; 0 (entrantes são lucrativas)</w:t>
        <w:br/>
        <w:t xml:space="preserve">   (1-D*_j) * pi_j(D*+e_j) &lt;= 0 (não-entrantes não querem entrar)</w:t>
        <w:br/>
        <w:t>Estas condições são necessárias, não suficientes para unicidade. Com muitas firmas similares, multiplicidade pode proliferar rapidamente.</w:t>
      </w:r>
    </w:p>
    <w:p>
      <w:pPr>
        <w:pStyle w:val="Heading1"/>
      </w:pPr>
      <w:r>
        <w:t>5. Soluções para Multiplicidade de Equilíbrios</w:t>
      </w:r>
    </w:p>
    <w:p>
      <w:r>
        <w:t>(A) AGREGAR RESULTADOS (Bresnahan-Reiss 1988, 1991a):</w:t>
        <w:br/>
        <w:t>O número de firmas N é determinado de forma única mesmo quando as identidades são indeterminadas. As regiões de N são mutuamente exclusivas: mesmo com múltiplas identidades de monopolistas, há apenas uma região de "N=1". Isso permite construir uma verossimilhança para N* sem especificar quem entra.</w:t>
        <w:br/>
        <w:br/>
        <w:t>(B) ENTRADA SEQUENCIAL COM ORDEM PREDETERMINADA (Bresnahan-Reiss 1990, 1991a):</w:t>
        <w:br/>
        <w:t>Se firma 1 move primeiro, o conjunto de equilíbrios de monopolio da firma 2 se contrai: firma 1 pode preemptar firma 2 na região de múltiplos equilíbrios. Resultado: equilíbrio único, modelo coerente. Exige conhecer a ordem de entrada.</w:t>
        <w:br/>
        <w:br/>
        <w:t>(C) ENTRADA EFICIENTE (TWO-STAGE SEQUENTIAL, Tabela 4):</w:t>
        <w:br/>
        <w:t>O empreendedor mais lucrável escolhe qual firma ser (1 ou 2) antes de entrar. Linha diagonal 45° divide a região de monopolio: acima → firma 2 é mais lucrativa e o empreendedor escolhe ser firma 2. Resolve multiplicidade sem conhecer a ordem de entrada, mas gera regiões não-retangulares — complica estimação.</w:t>
        <w:br/>
        <w:br/>
        <w:t>(D) PROBABILIDADES DE EQUILÍBRIO (Bjorn-Vuong 1984, Tamer 2003):</w:t>
        <w:br/>
        <w:t>Tratar a probabilidade de cada equilíbrio como parâmetro a estimar. Tamer (2003) estima H(x) = probabilidade de que firma 1 entre na região de múltiplos equilíbrios, como função não-paramétrica dos dados. Limitação: com mais de duas firmas, o número de regiões de múltiplos equilíbrios prolifera.</w:t>
        <w:br/>
        <w:br/>
        <w:t>(E) ABORDAGEM DE LIMITES — SET IDENTIFICATION (Manski 1995; Ciliberto-Tamer 2003):</w:t>
        <w:br/>
        <w:t>O modelo com múltiplos equilíbrios é incompleto: não faz predição exata, mas gera restrições sobre os resultados. As condições de melhor resposta (27-28) são necessárias, não suficientes:</w:t>
        <w:br/>
        <w:t xml:space="preserve">   Pr(epsilon in Omega(D,x,theta_0)) &gt;= Pr(D|x)   [condição de identificação]</w:t>
        <w:br/>
        <w:t>O conjunto identificado é {theta: Pr(epsilon in Omega) &gt;= Pr(D|x)}. Isso coloca intervalos sobre theta sem ponto de identificação, mas pode ainda testar hipóteses relevantes (ex: duas firmas competem entre si?).</w:t>
        <w:br/>
        <w:br/>
        <w:t>(F) INFORMAÇÃO INCOMPLETA (McKelvey-Palfrey 1995; Seim 2004):</w:t>
        <w:br/>
        <w:t>Quando firmas têm informação privada sobre seus custos (mas não os da rival), fornam suas decisões sobre lucros esperados. Isso gera um equilíbrio de Bayes-Nash que pode ter solução única quando a variância da informação privada é suficientemente alta — resolvendo o problema de multiplicidade.</w:t>
      </w:r>
    </w:p>
    <w:p>
      <w:pPr>
        <w:pStyle w:val="Heading1"/>
      </w:pPr>
      <w:r>
        <w:t>6. Informação Incompleta e Modelos de Localização</w:t>
      </w:r>
    </w:p>
    <w:p>
      <w:r>
        <w:t>MODELO COM INFORMAÇÃO PRIVADA (Berry-Reiss Seção 3.4):</w:t>
        <w:br/>
        <w:t>Firma i observa seu próprio epsilon_i (custo fixo privado), mas não o da rival epsilon_j. Em equilíbrio, firma i entra quando lucro esperado é positivo:</w:t>
        <w:br/>
        <w:t xml:space="preserve">   D_i = 1 se pi^M_i + p^i_j * Delta_i - epsilon_i &gt; 0</w:t>
        <w:br/>
        <w:t>onde p^i_j = E_i(D_j) é a probabilidade que firma i atribui à entrada da rival.</w:t>
        <w:br/>
        <w:br/>
        <w:t>Consistência exige:</w:t>
        <w:br/>
        <w:t xml:space="preserve">   p^1_2 = F_1(pi^M_1 + p^2_1 * Delta_1)</w:t>
        <w:br/>
        <w:t xml:space="preserve">   p^2_1 = F_2(pi^M_2 + p^1_2 * Delta_2)</w:t>
        <w:br/>
        <w:t>Sistema não-linear — pode ter múltiplas soluções (especialmente quando Delta &lt; 0 e grande). Para variância grande da informação privada, a solução simétrica única existe. Multiplicidade subsiste para informação privada pequena.</w:t>
        <w:br/>
        <w:br/>
        <w:t>QUANTAL RESPONSE EQUILIBRIUM (McKelvey-Palfrey 1995):</w:t>
        <w:br/>
        <w:t>Firmas cometem "erros" epsilon_{ij} na avaliação de utilidade. Equilíbrio quantal-response (QRE): probabilidade p_{ij} = Pr(u_{ij} &gt;= max_k u_{ik}) é consistente com as probabilidades dos rivais. Implementável com erros tipo I extreme value → logit escalado.</w:t>
        <w:br/>
        <w:br/>
        <w:t>APLICAÇÃO: MODELOS DE LOCALIZAÇÃO (Seim 2000, 2004) — videolocadoras:</w:t>
        <w:br/>
        <w:t>N entrantes potenciais escolhem entre L localizações (census tracts). Firma i na localização l tem lucro:</w:t>
        <w:br/>
        <w:t xml:space="preserve">   pi_il = x_l*beta + theta_ll*(N-1)*p_l + SOMA_{h≠l} theta_lh*(N-1)*p_h + nu_il</w:t>
        <w:br/>
        <w:t>Firma i observa nu_il mas não os nu dos rivais. Com nu_il ~ Gumbel, obtém-se um problema de escolha discreta padrão que entrega probabilidades de entrada por localização:</w:t>
        <w:br/>
        <w:t xml:space="preserve">   p_l = exp(pi_bar_l) / (1 + SOMA_l exp(pi_bar_l))   [logit]</w:t>
        <w:br/>
        <w:t>Sistema de equações fixo em {p_l}: solução existe e é tipicamente única para variância suficientemente alta dos nu. Estimação por máxima verossimilhança com algoritmo de ponto fixo aninhado.</w:t>
      </w:r>
    </w:p>
    <w:p>
      <w:pPr>
        <w:pStyle w:val="Heading1"/>
      </w:pPr>
      <w:r>
        <w:t>7. Extensões: Auctions, Dinâmica e Legado</w:t>
      </w:r>
    </w:p>
    <w:p>
      <w:r>
        <w:t>ENTRADA EM LEILÕES (Seção 3.5):</w:t>
        <w:br/>
        <w:t>Em leilões sealed-bid com N potenciais licitantes e custo de entrada K, o número de licitantes n é endógeno. Em equilíbrio simétrico de Levin-Smith: cada licitante entra com probabilidade p* tal que lucro esperado de entrada = K. A distribuição binomial de n permite estimar p* e, por extensão, K. Paralelo com modelos de entrada: custo de entrada ≈ custo fixo; privada informação sobre valoração ≈ heterogeneidade não observada de firma.</w:t>
        <w:br/>
        <w:br/>
        <w:t>OUTRAS FORMAS DE HETEROGENEIDADE (Seção 3.6):</w:t>
        <w:br/>
        <w:t>A literatura ainda tem lacunas importantes:</w:t>
        <w:br/>
        <w:t>- Escala de operação endógena</w:t>
        <w:br/>
        <w:t>- Características de produto endógenas em espaço contínuo</w:t>
        <w:br/>
        <w:t>- Qualidade de produto endógena</w:t>
        <w:br/>
        <w:t>Mazzeo (2002) avança na direção de produto diferenciado discreto (hotéis de baixa vs. alta qualidade próximos a saídas de autopistas). Resultado: retornos fortes à diferenciação — entrada de rival de mesma qualidade reduz lucros muito mais do que rival de qualidade diferente.</w:t>
        <w:br/>
        <w:br/>
        <w:t>DINÂMICA (Seção 3.7):</w:t>
        <w:br/>
        <w:t>A literatura de modelos dinâmicos (Ericson-Pakes 1995, Doraszelski-Pakes) incorpora heterogeneidade endógena, investimento e entrada/saída dinâmica. Principais obstáculos computacionais: "maldição da dimensionalidade". Soluções promissoras:</w:t>
        <w:br/>
        <w:t>- Aguirregabiria e Mira (2007): estimação sequencial sem resolver o modelo dinâmico</w:t>
        <w:br/>
        <w:t>- Pesendorfer e Schmidt-Dengler (2004): two-step pseudo-likelihood</w:t>
        <w:br/>
        <w:t>- Pakes, Ostrovsky e Berry (2004): BBL estimator</w:t>
        <w:br/>
        <w:br/>
        <w:t>CONCLUSÃO E LEGADO:</w:t>
        <w:br/>
        <w:t>Modelos de estrutura de mercado usam preferência revelada para recuperar parâmetros de lucro a partir da distribuição cross-seccional de N. Os avanços incluem: (i) modelos estruturais de V(N) derivados de demanda e custos; (ii) solução dos problemas de múltiplos equilíbrios; (iii) estimadores de simulação para firmas heterogêneas; (iv) identificação por limites. Desafios pendentes: dinâmica, mercados sobrepostos, endogeneidade de heterogeneidade.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