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Sequential Estimation of Dynamic Discrete Games</w:t>
      </w:r>
    </w:p>
    <w:p>
      <w:pPr>
        <w:pStyle w:val="Heading1"/>
      </w:pPr>
      <w:r>
        <w:t>1. Motivação e Problema de Pesquisa</w:t>
      </w:r>
    </w:p>
    <w:p>
      <w:r>
        <w:t>CONTEXTO:</w:t>
        <w:br/>
        <w:t>Jogos discretos dinâmicos (Dynamic Discrete Games, DDG) com informação incompleta são ferramentas essenciais para analisar comportamento estratégico em mercados de oligopólio. Aplicações incluem: modelos de entrada e saída de mercado (Bresnahan-Reiss, Berry), competição espacial (Seim 2000), liberação temporal de filmes (Einav 2003), alocações intrafamiliares (Kooreman 1994), e interações sociais (Brock-Durlauf 2001).</w:t>
        <w:br/>
        <w:br/>
        <w:t>DOIS DESAFIOS METODOLÓGICOS CENTRAIS:</w:t>
        <w:br/>
        <w:t>(1) MULTIPLICIDADE DE EQUILÍBRIOS: A maioria dos jogos empíricos tem múltiplos equilíbrios de Markov perfeito (MPE). Com múltiplos equilíbrios, o MLE exige computar TODOS os equilíbrios para cada candidato a parâmetro θ — inviável mesmo para modelos simples.</w:t>
        <w:br/>
        <w:br/>
        <w:t>(2) CUSTO COMPUTACIONAL: Cada equilíbrio de um DDG é solução de N problemas de programação dinâmica acoplados. A "maldição da dimensionalidade" implica que o custo cresce exponencialmente com N. Os algoritmos padrão (NFXP) exigem resolver o jogo completo a cada avaliação da função de verossimilhança.</w:t>
        <w:br/>
        <w:br/>
        <w:t>CONTRIBUIÇÃO DO PAPER:</w:t>
        <w:br/>
        <w:t>Aguirregabiria e Mira (2007) propõem uma classe de estimadores de pseudo máxima verossimilhança (PML) que trata ambos os problemas simultaneamente:</w:t>
        <w:br/>
        <w:t xml:space="preserve">  (a) Abordagem de dois estágios (2S-PML): estimação não-paramétrica das CCPs no       primeiro estágio; pseudo-verossimilhança no segundo — computacionalmente simples;</w:t>
        <w:br/>
        <w:t xml:space="preserve">  (b) NPL (Nested Pseudo Likelihood): extensão recursiva do 2S-PML — resolve       os problemas de viés em amostras finitas e ineficiência assintótica do 2S-PML;</w:t>
        <w:br/>
        <w:t xml:space="preserve">  (c) Aplicação empírica: modelo de entrada e saída de firmas em mercados de varejo       locais usando dados de painel de municípios chilenos (censo fiscal 1994-1999).</w:t>
      </w:r>
    </w:p>
    <w:p>
      <w:pPr>
        <w:pStyle w:val="Heading1"/>
      </w:pPr>
      <w:r>
        <w:t>2. Modelo de Jogo Dinâmico Discreto</w:t>
      </w:r>
    </w:p>
    <w:p>
      <w:r>
        <w:t>ESTRUTURA DO JOGO:</w:t>
        <w:br/>
        <w:t>N firmas decidem simultaneamente a cada período discreto. Estado comum: xₜ = (dₜ, x₁ₜ,...,xₙₜ). Estado privado: εᵢₜ (informação privada da firma i). Conjunto de alternativas: A = {0,1,...,J} (número de estabelecimentos).</w:t>
        <w:br/>
        <w:br/>
        <w:t>PRESSUPOSTOS FUNDAMENTAIS:</w:t>
        <w:br/>
        <w:t>(A1) SEPARABILIDADE ADITIVA: Πᵢ(aₜ,xₜ,εᵢₜ) = Hᵢ(aₜ,xₜ) + εᵢₜ(aᵢₜ)</w:t>
        <w:br/>
        <w:t>(A2) INDEPENDÊNCIA CONDICIONAL: p(xₜ₊₁,εₜ₊₁|aₜ,xₜ,εₜ) = p̃(εₜ₊₁) f(xₜ₊₁|aₜ,xₜ)</w:t>
        <w:br/>
        <w:t>(A3) VALORES PRIVADOS INDEPENDENTES: εᵢₜ independente entre firmas</w:t>
        <w:br/>
        <w:br/>
        <w:t>Firma i maximiza soma esperada de lucros descontados: E[Σ β^{s-t} Πᵢₛ | xₜ, εᵢₜ]</w:t>
        <w:br/>
        <w:br/>
        <w:t>EXEMPLO — ENTRADA/SAÍDA EM VAREJO LOCAL:</w:t>
        <w:br/>
        <w:t>Firmas são superlojas; aᵢₜ ∈ {0,1}. Lucro variável: Cournot simétrico com demanda linear → πᵢₜ(1,xₜ) = θᴿˢ Sₜ / (2 + Σⱼ≠ᵢ aⱼₜ)². Lucro corrente se ativa:</w:t>
        <w:br/>
        <w:t xml:space="preserve">   Πᵢₜ(1) = θᴿˢ Sₜ Nᵢᴾ(xₜ) − θᶠᶜ − θᴱᶜ(1 − aᵢ,ₜ₋₁) + εᵢₜ(1)</w:t>
        <w:br/>
        <w:t>onde θᶠᶜ = custo fixo de operação; θᴱᶜ = custo de entrada (afundado).</w:t>
        <w:br/>
        <w:br/>
        <w:t>EQUILÍBRIO DE MARKOV PERFEITO (MPE):</w:t>
        <w:br/>
        <w:t>Estratégia σᵢ*(x,εᵢ) = argmaxₐ{vᵢ*(a,x) + εᵢ(a)}, onde vᵢ* são as funções valor específicas de escolha no equilíbrio. Em espaço de probabilidades, o MPE é ponto fixo do mapeamento de melhor resposta: P* = Λ(P*), onde</w:t>
        <w:br/>
        <w:t xml:space="preserve">   Λᵢ(aᵢ|x; P₋ᵢ) = ∫ 1{aᵢ = argmax vᵢᴾ(a,x) + εᵢ(a)} g(dεᵢ)</w:t>
        <w:br/>
        <w:br/>
        <w:t>Em geral NÃO único → multiplicidade de equilíbrios.</w:t>
      </w:r>
    </w:p>
    <w:p>
      <w:pPr>
        <w:pStyle w:val="Heading1"/>
      </w:pPr>
      <w:r>
        <w:t>3. Mapeamento Alternativo de Melhor Resposta e Estimação</w:t>
      </w:r>
    </w:p>
    <w:p>
      <w:r>
        <w:t>MAPEAMENTO ALTERNATIVO Ψ (EVITA RESOLVER N PROBLEMAS DE PD):</w:t>
        <w:br/>
        <w:t>Usando a representação de Hotz-Miller adaptada para jogos:</w:t>
        <w:br/>
        <w:t xml:space="preserve">   (I − β F^P) Vᵢᴾ = Σₐ Pᵢ(a) ⊙ [πᵢᴾ(a) + eᵢᴾ(a)]</w:t>
        <w:br/>
        <w:br/>
        <w:t>Isso define um operador de avaliação Fᵢ(P) que computa funções valor sem resolver os N problemas de PD separados — basta inverter um sistema de equações lineares.</w:t>
        <w:br/>
        <w:br/>
        <w:t>Representação Lemma: o conjunto de pontos fixos de Λ e de Ψ são idênticos. MPE ↔ ponto fixo de Ψ, que é muito mais barato de avaliar.</w:t>
        <w:br/>
        <w:br/>
        <w:t>MODELO ECONOMÉTRICO — PRESSUPOSTO 5:</w:t>
        <w:br/>
        <w:t>(A5) Os dados são gerados por UM ÚNICO MPE P₀. Isso não exige unicidade do equilíbrio: diferentes tipos de mercado podem selecionar diferentes equilíbrios, e cada tipo usa o mesmo P₀. O pesquisador não precisa especificar mecanismo de seleção de equilíbrio porque o equilíbrio selecionado é identificado das CCPs nos dados.</w:t>
        <w:br/>
        <w:br/>
        <w:t>PSEUDO-VEROSSIMILHANÇA:</w:t>
        <w:br/>
        <w:t xml:space="preserve">   Q_M(θ, P) = (1/M) Σₘ Σₜ Σᵢ ln Ψᵢ(aᵢₘₜ|xₘₜ; P, θ)</w:t>
        <w:br/>
        <w:br/>
        <w:t>MLE IDEAL: max_{θ,P: P=Ψ(θ,P)} Q_M(θ,P) — requer computar todos os equilíbrios.</w:t>
        <w:br/>
        <w:br/>
        <w:t>ESTIMADOR 2S-PML (DOIS ESTÁGIOS — PROPOSITION 1):</w:t>
        <w:br/>
        <w:t xml:space="preserve">   Passo 1: estimativa não-paramétrica consistente P̂₀ das CCPs verdadeiras P₀</w:t>
        <w:br/>
        <w:t xml:space="preserve">   Passo 2: θ̂₂ₛ = argmax Q_M(θ, P̂₀)</w:t>
        <w:br/>
        <w:br/>
        <w:t>Proposição 1: sob condições de regularidade, √M(θ̂₂ₛ − θ₀) →_d N(0, V₂ₛ) com</w:t>
        <w:br/>
        <w:t xml:space="preserve">   V₂ₛ = Ω⁻¹ + Ω⁻¹ (∂_P Q)(∂_P Q)ᵀ Ω⁻¹ Σ Ω⁻¹  ≥  Ω⁻¹</w:t>
        <w:br/>
        <w:t>Limitações: (i) assintoticamente ineficiente (V₂ₛ &gt; Ω⁻¹); (ii) grande viés em amostras finitas quando P̂₀ é impreciso; (iii) P̂₀ consistente nem sempre disponível (ex.: heterogeneidade de mercado não-observada).</w:t>
      </w:r>
    </w:p>
    <w:p>
      <w:pPr>
        <w:pStyle w:val="Heading1"/>
      </w:pPr>
      <w:r>
        <w:t>4. Estimador NPL para Jogos</w:t>
      </w:r>
    </w:p>
    <w:p>
      <w:r>
        <w:t>ALGORITMO NPL PARA JOGOS (NESTED PSEUDO LIKELIHOOD):</w:t>
        <w:br/>
        <w:t>Extensão direta do NPL de Aguirregabiria e Mira (2002) para o contexto de múltiplos agentes.</w:t>
        <w:br/>
        <w:br/>
        <w:t>Inicializar P⁰ (não precisa ser consistente). Para K = 1, 2, ..., até convergência:</w:t>
        <w:br/>
        <w:t xml:space="preserve">   Passo 1: θᴷ = argmax Q_M(θ, P^{K-1})</w:t>
        <w:br/>
        <w:t xml:space="preserve">   Passo 2: Pᴷ = Ψ(θᴷ, P^{K-1})</w:t>
        <w:br/>
        <w:br/>
        <w:t>PROPOSIÇÃO 2 (CONSISTÊNCIA DO NPL — CONDIÇÕES ADICIONAIS):</w:t>
        <w:br/>
        <w:t>Sob A1-A5 e condições de regularidade adicional, incluindo:</w:t>
        <w:br/>
        <w:t>(v)  Ausência de pontos fixos NPL contínuos em torno de (θ₀, P₀);</w:t>
        <w:br/>
        <w:t>(vi) Pseudo-verossimilhança globalmente côncava em θ para P próximo de P₀;</w:t>
        <w:br/>
        <w:t>(vii) Jacobiana do operador NPL não tem autovalores no círculo unitário — condição       chave: garante que há ponto fixo NPL amostral próximo de (θ₀, P₀).</w:t>
        <w:br/>
        <w:br/>
        <w:t>Se NPL converge, converge para o mesmo estimador independente da inicialização P⁰.</w:t>
        <w:br/>
        <w:br/>
        <w:t>DISTINÇÃO MULTIPLICIDADE DE EQUILÍBRIOS vs. MULTIPLICIDADE DE PONTOS FIXOS NPL:</w:t>
        <w:br/>
        <w:t>O modelo pode ter múltiplos equilíbrios mas apenas um ponto fixo NPL. Exemplo: modelo exatamente identificado (número de parâmetros = número de CCPs livres) → NPL converge em 2 iterações para estimador consistente independente de P⁰.</w:t>
        <w:br/>
        <w:br/>
        <w:t>NPL COM HETEROGENEIDADE NÃO-OBSERVADA PERMANENTE (A6):</w:t>
        <w:br/>
        <w:t>Estado não-observado wₘ com suporte discreto L. A pseudo-verossimilhança integra as probabilidades de melhor resposta sobre a distribuição de wₘ:</w:t>
        <w:br/>
        <w:t xml:space="preserve">   ln Pr(dados | θ, P) = Σₘ ln Σₗ p_l(-x̄ₘ) Pr(aₘ | x̄ₘ, ωₗ; θ, P)</w:t>
        <w:br/>
        <w:br/>
        <w:t>Isso permite: (a) múltiplos equilíbrios no DGP (mercados observacionalmente equivalentes podem selecionar equilíbrios diferentes via mecanismo sunspot); (b) heterogeneidade de mercado como variável de efeito aleatório; (c) NPL ainda aplicável, com CCPs condicionais em (x̄, ω) como parâmetros de perturbação.</w:t>
      </w:r>
    </w:p>
    <w:p>
      <w:pPr>
        <w:pStyle w:val="Heading1"/>
      </w:pPr>
      <w:r>
        <w:t>5. Monte Carlo: Desempenho dos Estimadores</w:t>
      </w:r>
    </w:p>
    <w:p>
      <w:r>
        <w:t>DESENHO:</w:t>
        <w:br/>
        <w:t>Modelo de entrada/saída com N=5 firmas; variável de lucro θᴿˢ; custo de entrada θᴱᶜ; rival effect θᴿᴺ; custo fixo θᶠᶜ. Espaço de estados: tamanho de mercado (5 pontos) × status de incumbência de cada firma → 160 células; 5 firmas × 160 = 800 CCPs. β = 0,95; M=400; 1.000 réplicas; 6 experimentos variando θᴱᶜ e θᴿᴺ.</w:t>
        <w:br/>
        <w:br/>
        <w:t>ESTIMADORES COMPARADOS:</w:t>
        <w:br/>
        <w:t xml:space="preserve">  2S-True: PML com P₀ verdadeiro (benchmark infeasível)</w:t>
        <w:br/>
        <w:t xml:space="preserve">  2S-Freq: PML com frequências amostrais (estimativa não-paramétrica)</w:t>
        <w:br/>
        <w:t xml:space="preserve">  2S-Logit: PML com estimativa logit de P₀</w:t>
        <w:br/>
        <w:t xml:space="preserve">  NPL: algoritmo NPL inicializado com cada uma das alternativas acima</w:t>
        <w:br/>
        <w:br/>
        <w:t>RESULTADOS PRINCIPAIS (Tabelas III-V):</w:t>
        <w:br/>
        <w:br/>
        <w:t>(1) 2S-Freq: enorme viés em TODOS os experimentos (MSE 2-6× o 2S-True).     Ex: θᶠᶜ,₁ = −1,90 verdadeiro; 2S-Freq estima −0,46 a −1,13.     Problema: com 400 obs. e 160 estados, frequências amostrais são muito imprecisas.</w:t>
        <w:br/>
        <w:br/>
        <w:t>(2) NPL: MSE nunca mais de 27% acima do 2S-True. Em experimentos com θᴿᴺ grande     (interação estratégica forte), NPL pode ter MSE MENOR que 2S-True — o NPL     impõe a condição de equilíbrio que o 2S-True ignora.</w:t>
        <w:br/>
        <w:br/>
        <w:t>(3) CONVERGÊNCIA DO NPL: em todos os 6.000 conjuntos de dados e independente de P⁰     (verdadeiro, frequências, logit, aleatório), o NPL sempre convergiu para o MESMO     ponto fixo. Interação estratégica mais forte → mais iterações necessárias (Tabela III).</w:t>
        <w:br/>
        <w:br/>
        <w:t>(4) 2S-Logit: desempenho bom para modelos simples, mas com θᴿᴺ=2 (interação muito     forte) o NPL supera o logit significativamente.</w:t>
      </w:r>
    </w:p>
    <w:p>
      <w:pPr>
        <w:pStyle w:val="Heading1"/>
      </w:pPr>
      <w:r>
        <w:t>6. Aplicação Empírica: Varejo no Chile</w:t>
      </w:r>
    </w:p>
    <w:p>
      <w:r>
        <w:t>DADOS:</w:t>
        <w:br/>
        <w:t>Censo fiscal chileno (Servicio de Impuestos Internos): painel anual 1994-1999 de TODAS as firmas que pagam imposto sobre vendas. Variáveis: identificação da firma, indústria (5 dígitos), vendas anuais, município (comuna).</w:t>
        <w:br/>
        <w:t>Amostra: 189 comunas não-metropolitanas (excluídas as grandes áreas metropolitanas e as comunas com população &gt; 50.000). Tamanho mediano da amostra: 10.400 habitantes.</w:t>
        <w:br/>
        <w:br/>
        <w:t>CINCO INDÚSTRIAS DE VAREJO:</w:t>
        <w:br/>
        <w:t xml:space="preserve">  Restaurantes: 14,6 firmas/10.000 hab.; Herfindahl mediano: 0,17</w:t>
        <w:br/>
        <w:t xml:space="preserve">  Postos de gasolina: 1,0 firma/10.000 hab.; Herfindahl mediano: 0,74</w:t>
        <w:br/>
        <w:t xml:space="preserve">  Livrarias: 1,9 firma/10.000 hab.; Herfindahl mediano: 0,66</w:t>
        <w:br/>
        <w:t xml:space="preserve">  Sapatarias: 0,9 firma/10.000 hab.; Herfindahl mediano: 0,70</w:t>
        <w:br/>
        <w:t xml:space="preserve">  Peixarias: 0,7 firma/10.000 hab.; Herfindahl mediano: 0,73</w:t>
        <w:br/>
        <w:br/>
        <w:t>ESPECIFICAÇÃO DO MODELO:</w:t>
        <w:br/>
        <w:t xml:space="preserve">   Πᵢₘₜ(1) = θᴿˢ ln(Sₘₜ) − θᴿᴺ ln(1 + Σⱼ≠ᵢ aⱼₘₜ) − θᶠᶜ − θᴱᶜ(1 − aᵢ,ₘ,ₜ₋₁) + σωₘ + εᵢₘₜ</w:t>
        <w:br/>
        <w:t>Efeito de mercado não-observado wₘ: distribuição Normal discreta (L=21 pontos). Tamanho de mercado: AR(1) discretizado (10 pontos). Espaços de estado grandes exigem NPL.</w:t>
        <w:br/>
        <w:br/>
        <w:t>RESULTADO CHAVE:</w:t>
        <w:br/>
        <w:t>Sem heterogeneidade não-observada, θᴿᴺ estimado com sinal negativo (implausível) em algumas indústrias — viés por omissão de variável: mercados com wₘ alto têm mais firmas E mais lucros por razões não-observadas. Incluindo wₘ, θᴿᴺ &gt; 0 em todas as indústrias.</w:t>
        <w:br/>
        <w:t>Custos de entrada θᴱᶜ estimados são 1-4x os lucros anuais de monopolista médio — explicando alta persistência na estrutura de mercado, especialmente em postos de gasolina.</w:t>
      </w:r>
    </w:p>
    <w:p>
      <w:pPr>
        <w:pStyle w:val="Heading1"/>
      </w:pPr>
      <w:r>
        <w:t>7. Conclusão e Legado</w:t>
      </w:r>
    </w:p>
    <w:p>
      <w:r>
        <w:t>SÍNTESE:</w:t>
        <w:br/>
        <w:t>(1) O 2S-PML resolve os problemas de múltiplos equilíbrios e custo computacional,     mas sofre de sério viés em amostras finitas quando as CCPs não-paramétricas     são imprecisas — problema mais grave em jogos com muitos jogadores/estados.</w:t>
        <w:br/>
        <w:t>(2) O NPL resolve esses problemas ao custo de mais iterações: impõe a condição de     equilíbrio através de iterações de melhor resposta, aumentando a precisão     monotonicamente com K.</w:t>
        <w:br/>
        <w:t>(3) Na aplicação chilena, o controle para heterogeneidade de mercado não-observada     é essencial — sem ele, o efeito de rivalidade θᴿᴺ é viesado negativamente.</w:t>
        <w:br/>
        <w:br/>
        <w:t>LIMITAÇÕES E EXTENSÕES:</w:t>
        <w:br/>
        <w:t>- Pressuposto de que apenas UM equilíbrio é observado no DGP (A5) — embora o   modelo permita que diferentes tipos de mercado selecionem equilíbrios diferentes;</w:t>
        <w:br/>
        <w:t>- Convergência do NPL: garantida apenas localmente; na prática, o algoritmo sempre   convergiu no mesmo ponto neste paper, mas isso depende da estrutura do modelo;</w:t>
        <w:br/>
        <w:t>- Sem solução direta para consistência do 2S-PML quando CCPs não-paramétricas   não estão disponíveis (ex.: heterogeneidade não-observada time-invariant).</w:t>
        <w:br/>
        <w:br/>
        <w:t>LEGADO METODOLÓGICO:</w:t>
        <w:br/>
        <w:t>(a) Estabelece a abordagem PML/NPL como metodologia padrão para estimação de     DDC games em OI — generalizando Aguirregabiria-Mira (2002) para jogos;</w:t>
        <w:br/>
        <w:t>(b) Identifica o problema do múltiplos equilíbrios: o NPL lida com ele sem     especificar mecanismo de seleção de equilíbrio;</w:t>
        <w:br/>
        <w:t>(c) Mostra como incorporar heterogeneidade de mercado não-observada permanente     como mistura de equilíbrios;</w:t>
        <w:br/>
        <w:t>(d) Base para extensa literatura subsequente de estimação de jogos dinâmicos:     Bajari-Benkard-Levin (2007), Pakes-Ostrovsky-Berry (2007),     Pesendorfer-Schmidt-Dengler (2004, 2010);</w:t>
        <w:br/>
        <w:t>(e) Aplicação pioneira de DDC games a dados de painel de indústrias de varejo     com heterogeneidade não-observada e múltiplos equilíbrios.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