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3CE6" w14:textId="454EBA01" w:rsidR="00C92749" w:rsidRPr="00E17EA5" w:rsidRDefault="00C92749" w:rsidP="00C92749">
      <w:pPr>
        <w:jc w:val="both"/>
        <w:rPr>
          <w:b/>
          <w:bCs/>
        </w:rPr>
      </w:pPr>
      <w:r w:rsidRPr="00E17EA5">
        <w:rPr>
          <w:b/>
          <w:bCs/>
        </w:rPr>
        <w:t xml:space="preserve">Resumo Detalhado: </w:t>
      </w:r>
      <w:r w:rsidR="00E17EA5" w:rsidRPr="00E17EA5">
        <w:rPr>
          <w:b/>
          <w:bCs/>
        </w:rPr>
        <w:t>Banks, Blundell e Lewbel (1997)</w:t>
      </w:r>
    </w:p>
    <w:p w14:paraId="05D0F4AB" w14:textId="77777777" w:rsidR="00E34530" w:rsidRPr="00E34530" w:rsidRDefault="00E34530" w:rsidP="00E34530">
      <w:pPr>
        <w:jc w:val="both"/>
        <w:rPr>
          <w:b/>
          <w:bCs/>
          <w:lang w:val="en-US"/>
        </w:rPr>
      </w:pPr>
      <w:r w:rsidRPr="00E34530">
        <w:rPr>
          <w:b/>
          <w:bCs/>
          <w:lang w:val="en-US"/>
        </w:rPr>
        <w:t>Banks, Blundell e Lewbel (1997) — "Quadratic Engel Curves and Consumer Demand"</w:t>
      </w:r>
    </w:p>
    <w:p w14:paraId="3C470995" w14:textId="77777777" w:rsidR="00E34530" w:rsidRPr="00E34530" w:rsidRDefault="00E34530" w:rsidP="00E34530">
      <w:pPr>
        <w:jc w:val="both"/>
      </w:pPr>
      <w:r w:rsidRPr="00E34530">
        <w:rPr>
          <w:i/>
          <w:iCs/>
          <w:lang w:val="en-US"/>
        </w:rPr>
        <w:t>The Review of Economics and Statistics</w:t>
      </w:r>
      <w:r w:rsidRPr="00E34530">
        <w:rPr>
          <w:lang w:val="en-US"/>
        </w:rPr>
        <w:t xml:space="preserve">, vol. </w:t>
      </w:r>
      <w:r w:rsidRPr="00E34530">
        <w:t>LXXIX, n. 4, novembro de 1997.</w:t>
      </w:r>
    </w:p>
    <w:p w14:paraId="0C475B38" w14:textId="77777777" w:rsidR="00E34530" w:rsidRPr="00E34530" w:rsidRDefault="00660C65" w:rsidP="00E34530">
      <w:pPr>
        <w:jc w:val="both"/>
      </w:pPr>
      <w:r>
        <w:pict w14:anchorId="5291017D">
          <v:rect id="_x0000_i1025" style="width:0;height:1.5pt" o:hralign="center" o:hrstd="t" o:hr="t" fillcolor="#a0a0a0" stroked="f"/>
        </w:pict>
      </w:r>
    </w:p>
    <w:p w14:paraId="28832EC3" w14:textId="77777777" w:rsidR="00E34530" w:rsidRPr="00E34530" w:rsidRDefault="00E34530" w:rsidP="00E34530">
      <w:pPr>
        <w:jc w:val="both"/>
        <w:rPr>
          <w:b/>
          <w:bCs/>
        </w:rPr>
      </w:pPr>
      <w:r w:rsidRPr="00E34530">
        <w:rPr>
          <w:b/>
          <w:bCs/>
        </w:rPr>
        <w:t>Motivação e problema</w:t>
      </w:r>
    </w:p>
    <w:p w14:paraId="4BA5CA41" w14:textId="77777777" w:rsidR="00E34530" w:rsidRPr="00E34530" w:rsidRDefault="00E34530" w:rsidP="00E34530">
      <w:pPr>
        <w:jc w:val="both"/>
      </w:pPr>
      <w:r w:rsidRPr="00E34530">
        <w:t>O ponto de partida é a necessidade de sistemas de demanda que sejam ao mesmo tempo coerentes com a teoria do consumidor (integrabilidade, homogeneidade, simetria de Slutsky) e empiricamente acurados na descrição do comportamento de indivíduos ao longo da distribuição de renda. Os autores argumentam que os modelos predominantes até então, como o Almost Ideal Demand System (AIDS) de Deaton e Muellbauer (1980) e o Translog de Jorgenson et al. (1982), pertencem à classe PIGLOG (Price-Independent Generalized Logarithmic), na qual as participações dos bens no orçamento são lineares no logaritmo da despesa total. Essa linearidade impõe restrições empiricamente rejeitadas para vários grupos de bens.</w:t>
      </w:r>
    </w:p>
    <w:p w14:paraId="324CEA2B" w14:textId="77777777" w:rsidR="00E34530" w:rsidRPr="00E34530" w:rsidRDefault="00660C65" w:rsidP="00E34530">
      <w:pPr>
        <w:jc w:val="both"/>
      </w:pPr>
      <w:r>
        <w:pict w14:anchorId="1FF2F446">
          <v:rect id="_x0000_i1026" style="width:0;height:1.5pt" o:hralign="center" o:hrstd="t" o:hr="t" fillcolor="#a0a0a0" stroked="f"/>
        </w:pict>
      </w:r>
    </w:p>
    <w:p w14:paraId="4BC04332" w14:textId="77777777" w:rsidR="00E34530" w:rsidRPr="00E34530" w:rsidRDefault="00E34530" w:rsidP="00E34530">
      <w:pPr>
        <w:jc w:val="both"/>
        <w:rPr>
          <w:b/>
          <w:bCs/>
        </w:rPr>
      </w:pPr>
      <w:r w:rsidRPr="00E34530">
        <w:rPr>
          <w:b/>
          <w:bCs/>
        </w:rPr>
        <w:t>Evidência empírica sobre as curvas de Engel</w:t>
      </w:r>
    </w:p>
    <w:p w14:paraId="29DEAB42" w14:textId="77777777" w:rsidR="00E34530" w:rsidRPr="00E34530" w:rsidRDefault="00E34530" w:rsidP="00E34530">
      <w:pPr>
        <w:jc w:val="both"/>
      </w:pPr>
      <w:r w:rsidRPr="00E34530">
        <w:t>Na seção II, usando dados da Family Expenditure Survey (FES) do Reino Unido (1970–1986), os autores estimam curvas de Engel não paramétricas (regressão kernel com banda ótima no sentido MISE) para cinco grupos de bens: alimentação, combustível doméstico, vestuário, álcool e outros bens não duráveis. Os resultados mostram dois padrões distintos:</w:t>
      </w:r>
    </w:p>
    <w:p w14:paraId="5E5CD180" w14:textId="77777777" w:rsidR="00E34530" w:rsidRPr="00E34530" w:rsidRDefault="00E34530" w:rsidP="00E34530">
      <w:pPr>
        <w:numPr>
          <w:ilvl w:val="0"/>
          <w:numId w:val="4"/>
        </w:numPr>
        <w:jc w:val="both"/>
      </w:pPr>
      <w:r w:rsidRPr="00E34530">
        <w:t>Para alimentação e combustível, a forma linear em ln(despesa) é uma boa aproximação.</w:t>
      </w:r>
    </w:p>
    <w:p w14:paraId="29DE0321" w14:textId="77777777" w:rsidR="00E34530" w:rsidRPr="00E34530" w:rsidRDefault="00E34530" w:rsidP="00E34530">
      <w:pPr>
        <w:numPr>
          <w:ilvl w:val="0"/>
          <w:numId w:val="4"/>
        </w:numPr>
        <w:jc w:val="both"/>
      </w:pPr>
      <w:r w:rsidRPr="00E34530">
        <w:t>Para vestuário e álcool, há curvatura não linear evidente, com a participação no orçamento crescendo e depois decrescendo com a renda.</w:t>
      </w:r>
    </w:p>
    <w:p w14:paraId="452AC47B" w14:textId="77777777" w:rsidR="00E34530" w:rsidRPr="00E34530" w:rsidRDefault="00E34530" w:rsidP="00E34530">
      <w:pPr>
        <w:jc w:val="both"/>
      </w:pPr>
      <w:r w:rsidRPr="00E34530">
        <w:t>Testes de rank (Gill e Lewbel (1992); Cragg e Donald (1995)) aplicados à matriz de coeficientes das curvas de Engel rejeitam rank ≤ 2 com p-values próximos a zero e não rejeitam rank = 3, sugerindo que três termos de renda são necessários. Estimações IV (método Wu-Hausman, instrumentando ln(x) com ln(renda)) confirmam que a rejeição da linearidade não é artefato de endogeneidade da despesa. Termos de ordem superior ao quadrático são estatisticamente insignificantes.</w:t>
      </w:r>
    </w:p>
    <w:p w14:paraId="14C08511" w14:textId="77777777" w:rsidR="00E34530" w:rsidRPr="00E34530" w:rsidRDefault="00660C65" w:rsidP="00E34530">
      <w:pPr>
        <w:jc w:val="both"/>
      </w:pPr>
      <w:r>
        <w:pict w14:anchorId="4691EF6E">
          <v:rect id="_x0000_i1027" style="width:0;height:1.5pt" o:hralign="center" o:hrstd="t" o:hr="t" fillcolor="#a0a0a0" stroked="f"/>
        </w:pict>
      </w:r>
    </w:p>
    <w:p w14:paraId="38BDA39C" w14:textId="77777777" w:rsidR="00E34530" w:rsidRPr="00E34530" w:rsidRDefault="00E34530" w:rsidP="00E34530">
      <w:pPr>
        <w:jc w:val="both"/>
        <w:rPr>
          <w:b/>
          <w:bCs/>
        </w:rPr>
      </w:pPr>
      <w:r w:rsidRPr="00E34530">
        <w:rPr>
          <w:b/>
          <w:bCs/>
        </w:rPr>
        <w:lastRenderedPageBreak/>
        <w:t>Resultado teórico central: o Teorema 1</w:t>
      </w:r>
    </w:p>
    <w:p w14:paraId="5E3A679E" w14:textId="77777777" w:rsidR="00E34530" w:rsidRPr="00E34530" w:rsidRDefault="00E34530" w:rsidP="00E34530">
      <w:pPr>
        <w:jc w:val="both"/>
      </w:pPr>
      <w:r w:rsidRPr="00E34530">
        <w:t>A seção III formaliza o que a evidência empírica sugere. Considera-se a classe geral de sistemas de demanda exatamente agregáveis com participações no orçamento da forma:</w:t>
      </w:r>
    </w:p>
    <w:p w14:paraId="01A61156" w14:textId="53785D52" w:rsidR="00E34530" w:rsidRPr="00E34530" w:rsidRDefault="00660C65" w:rsidP="00E34530">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rPr>
            <m:t>p</m:t>
          </m:r>
          <m:r>
            <w:rPr>
              <w:rFonts w:ascii="Cambria Math" w:hAnsi="Cambria Math"/>
            </w:rPr>
            <m:t>)</m:t>
          </m:r>
          <m:r>
            <m:rPr>
              <m:sty m:val="p"/>
            </m:rPr>
            <w:rPr>
              <w:rFonts w:ascii="Cambria Math" w:hAnsi="Cambria Math"/>
            </w:rPr>
            <m:t>ln</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p</m:t>
          </m:r>
          <m:r>
            <w:rPr>
              <w:rFonts w:ascii="Cambria Math" w:hAnsi="Cambria Math"/>
            </w:rPr>
            <m:t>)</m:t>
          </m:r>
          <m:r>
            <m:rPr>
              <m:nor/>
            </m:rPr>
            <w:rPr>
              <w:rFonts w:ascii="Arial" w:hAnsi="Arial" w:cs="Arial"/>
            </w:rPr>
            <m:t> </m:t>
          </m:r>
          <m:r>
            <w:rPr>
              <w:rFonts w:ascii="Cambria Math" w:hAnsi="Cambria Math"/>
            </w:rPr>
            <m:t>g</m:t>
          </m:r>
          <m:r>
            <w:rPr>
              <w:rFonts w:ascii="Cambria Math" w:hAnsi="Cambria Math"/>
            </w:rPr>
            <m:t>(</m:t>
          </m:r>
          <m:r>
            <w:rPr>
              <w:rFonts w:ascii="Cambria Math" w:hAnsi="Cambria Math"/>
            </w:rPr>
            <m:t>x</m:t>
          </m:r>
          <m:r>
            <w:rPr>
              <w:rFonts w:ascii="Cambria Math" w:hAnsi="Cambria Math"/>
            </w:rPr>
            <m:t>)</m:t>
          </m:r>
          <m:r>
            <m:rPr>
              <m:sty m:val="p"/>
            </m:rPr>
            <w:br/>
          </m:r>
        </m:oMath>
      </m:oMathPara>
    </w:p>
    <w:p w14:paraId="5AF3CA29" w14:textId="364AD93C" w:rsidR="00E34530" w:rsidRPr="00E34530" w:rsidRDefault="00E34530" w:rsidP="00E34530">
      <w:pPr>
        <w:jc w:val="both"/>
      </w:pPr>
      <w:r w:rsidRPr="00E34530">
        <w:t xml:space="preserve">onde </w:t>
      </w:r>
      <m:oMath>
        <m:r>
          <w:rPr>
            <w:rFonts w:ascii="Cambria Math" w:hAnsi="Cambria Math"/>
          </w:rPr>
          <m:t>x=m</m:t>
        </m:r>
        <m:r>
          <m:rPr>
            <m:sty m:val="p"/>
          </m:rPr>
          <w:rPr>
            <w:rFonts w:ascii="Cambria Math" w:hAnsi="Cambria Math"/>
          </w:rPr>
          <m:t>/</m:t>
        </m:r>
        <m:r>
          <w:rPr>
            <w:rFonts w:ascii="Cambria Math" w:hAnsi="Cambria Math"/>
          </w:rPr>
          <m:t>a(p)</m:t>
        </m:r>
      </m:oMath>
      <w:r w:rsidRPr="00E34530">
        <w:t xml:space="preserve">é a despesa real e </w:t>
      </w:r>
      <m:oMath>
        <m:r>
          <w:rPr>
            <w:rFonts w:ascii="Cambria Math" w:hAnsi="Cambria Math"/>
          </w:rPr>
          <m:t>g(x)</m:t>
        </m:r>
      </m:oMath>
      <w:r w:rsidRPr="00E34530">
        <w:t xml:space="preserve">é uma função suave a ser determinada. </w:t>
      </w:r>
    </w:p>
    <w:p w14:paraId="559F7065" w14:textId="65F1240C" w:rsidR="00E34530" w:rsidRPr="00E34530" w:rsidRDefault="00E34530" w:rsidP="00E34530">
      <w:pPr>
        <w:jc w:val="both"/>
      </w:pPr>
      <w:r w:rsidRPr="00E34530">
        <w:t xml:space="preserve">O </w:t>
      </w:r>
      <w:r w:rsidRPr="00E34530">
        <w:rPr>
          <w:b/>
          <w:bCs/>
        </w:rPr>
        <w:t>Teorema 1</w:t>
      </w:r>
      <w:r w:rsidRPr="00E34530">
        <w:t xml:space="preserve"> demonstra que qualquer sistema nessa forma que seja derivado de maximização de utilidade ou tem rank &lt; 3 (com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(p)=d(p)</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(p)</m:t>
        </m:r>
      </m:oMath>
      <w:r w:rsidRPr="00E34530">
        <w:t xml:space="preserve">para alguma função </w:t>
      </w:r>
      <m:oMath>
        <m:r>
          <w:rPr>
            <w:rFonts w:ascii="Cambria Math" w:hAnsi="Cambria Math"/>
          </w:rPr>
          <m:t>d(p)</m:t>
        </m:r>
      </m:oMath>
      <w:r w:rsidRPr="00E34530">
        <w:t xml:space="preserve">), ou tem rank 3 com função de utilidade indireta da forma: </w:t>
      </w:r>
    </w:p>
    <w:p w14:paraId="60A7AE67" w14:textId="28A2D114" w:rsidR="00E34530" w:rsidRPr="00E34530" w:rsidRDefault="00E34530" w:rsidP="00E34530">
      <w:pPr>
        <w:jc w:val="both"/>
      </w:pPr>
      <m:oMathPara>
        <m:oMath>
          <m:r>
            <m:rPr>
              <m:sty m:val="p"/>
            </m:rPr>
            <w:rPr>
              <w:rFonts w:ascii="Cambria Math" w:hAnsi="Cambria Math"/>
            </w:rPr>
            <m:t>ln</m:t>
          </m:r>
          <m:r>
            <w:rPr>
              <w:rFonts w:ascii="Cambria Math" w:hAnsi="Cambria Math"/>
            </w:rPr>
            <m:t>⁡V=</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⁡m-</m:t>
                              </m:r>
                              <m:r>
                                <m:rPr>
                                  <m:sty m:val="p"/>
                                </m:rPr>
                                <w:rPr>
                                  <w:rFonts w:ascii="Cambria Math" w:hAnsi="Cambria Math"/>
                                </w:rPr>
                                <m:t>ln</m:t>
                              </m:r>
                              <m:r>
                                <w:rPr>
                                  <w:rFonts w:ascii="Cambria Math" w:hAnsi="Cambria Math"/>
                                </w:rPr>
                                <m:t>⁡a(p)</m:t>
                              </m:r>
                            </m:num>
                            <m:den>
                              <m:r>
                                <w:rPr>
                                  <w:rFonts w:ascii="Cambria Math" w:hAnsi="Cambria Math"/>
                                </w:rPr>
                                <m:t>b(p)</m:t>
                              </m:r>
                            </m:den>
                          </m:f>
                        </m:e>
                      </m:d>
                    </m:e>
                    <m:sup>
                      <m:r>
                        <w:rPr>
                          <w:rFonts w:ascii="Cambria Math" w:hAnsi="Cambria Math"/>
                        </w:rPr>
                        <m:t>-1</m:t>
                      </m:r>
                    </m:sup>
                  </m:sSup>
                  <m:r>
                    <w:rPr>
                      <w:rFonts w:ascii="Cambria Math" w:hAnsi="Cambria Math"/>
                    </w:rPr>
                    <m:t>+λ(p)</m:t>
                  </m:r>
                </m:e>
              </m:d>
            </m:e>
            <m:sup>
              <m:r>
                <w:rPr>
                  <w:rFonts w:ascii="Cambria Math" w:hAnsi="Cambria Math"/>
                </w:rPr>
                <m:t>-1</m:t>
              </m:r>
            </m:sup>
          </m:sSup>
          <m:r>
            <m:rPr>
              <m:sty m:val="p"/>
            </m:rPr>
            <w:br/>
          </m:r>
        </m:oMath>
      </m:oMathPara>
    </w:p>
    <w:p w14:paraId="1BDA8BD9" w14:textId="21D80C2C" w:rsidR="00E34530" w:rsidRPr="00E34530" w:rsidRDefault="00E34530" w:rsidP="00E34530">
      <w:pPr>
        <w:jc w:val="both"/>
      </w:pPr>
      <w:r w:rsidRPr="00E34530">
        <w:t xml:space="preserve">onde </w:t>
      </w:r>
      <m:oMath>
        <m:d>
          <m:dPr>
            <m:begChr m:val="["/>
            <m:endChr m:val=""/>
            <m:ctrlPr>
              <w:rPr>
                <w:rFonts w:ascii="Cambria Math" w:hAnsi="Cambria Math"/>
              </w:rPr>
            </m:ctrlPr>
          </m:dPr>
          <m:e>
            <m:r>
              <w:rPr>
                <w:rFonts w:ascii="Cambria Math" w:hAnsi="Cambria Math"/>
              </w:rPr>
              <m:t>(</m:t>
            </m:r>
            <m:r>
              <m:rPr>
                <m:sty m:val="p"/>
              </m:rPr>
              <w:rPr>
                <w:rFonts w:ascii="Cambria Math" w:hAnsi="Cambria Math"/>
              </w:rPr>
              <m:t>ln</m:t>
            </m:r>
            <m:r>
              <w:rPr>
                <w:rFonts w:ascii="Cambria Math" w:hAnsi="Cambria Math"/>
              </w:rPr>
              <m:t>⁡m-</m:t>
            </m:r>
            <m:r>
              <m:rPr>
                <m:sty m:val="p"/>
              </m:rPr>
              <w:rPr>
                <w:rFonts w:ascii="Cambria Math" w:hAnsi="Cambria Math"/>
              </w:rPr>
              <m:t>ln</m:t>
            </m:r>
            <m:r>
              <w:rPr>
                <w:rFonts w:ascii="Cambria Math" w:hAnsi="Cambria Math"/>
              </w:rPr>
              <m:t>⁡a(p))</m:t>
            </m:r>
            <m:r>
              <m:rPr>
                <m:sty m:val="p"/>
              </m:rPr>
              <w:rPr>
                <w:rFonts w:ascii="Cambria Math" w:hAnsi="Cambria Math"/>
              </w:rPr>
              <m:t>/</m:t>
            </m:r>
            <m:r>
              <w:rPr>
                <w:rFonts w:ascii="Cambria Math" w:hAnsi="Cambria Math"/>
              </w:rPr>
              <m:t>b(p)</m:t>
            </m:r>
            <m:sSup>
              <m:sSupPr>
                <m:ctrlPr>
                  <w:rPr>
                    <w:rFonts w:ascii="Cambria Math" w:hAnsi="Cambria Math"/>
                  </w:rPr>
                </m:ctrlPr>
              </m:sSupPr>
              <m:e>
                <m:r>
                  <w:rPr>
                    <w:rFonts w:ascii="Cambria Math" w:hAnsi="Cambria Math"/>
                  </w:rPr>
                  <m:t>]</m:t>
                </m:r>
              </m:e>
              <m:sup>
                <m:r>
                  <w:rPr>
                    <w:rFonts w:ascii="Cambria Math" w:hAnsi="Cambria Math"/>
                  </w:rPr>
                  <m:t>-1</m:t>
                </m:r>
              </m:sup>
            </m:sSup>
          </m:e>
        </m:d>
      </m:oMath>
      <w:r w:rsidRPr="00E34530">
        <w:t xml:space="preserve">é a utilidade indireta de um sistema PIGLOG e </w:t>
      </w:r>
      <m:oMath>
        <m:r>
          <w:rPr>
            <w:rFonts w:ascii="Cambria Math" w:hAnsi="Cambria Math"/>
          </w:rPr>
          <m:t>λ(p)</m:t>
        </m:r>
      </m:oMath>
      <w:r w:rsidRPr="00E34530">
        <w:t xml:space="preserve">é uma função homogênea de grau zero nos preços. </w:t>
      </w:r>
    </w:p>
    <w:p w14:paraId="2A33C2EC" w14:textId="4C707797" w:rsidR="00E34530" w:rsidRPr="00E34530" w:rsidRDefault="00E34530" w:rsidP="00E34530">
      <w:pPr>
        <w:jc w:val="both"/>
      </w:pPr>
      <w:r w:rsidRPr="00E34530">
        <w:t xml:space="preserve">O </w:t>
      </w:r>
      <w:r w:rsidRPr="00E34530">
        <w:rPr>
          <w:b/>
          <w:bCs/>
        </w:rPr>
        <w:t>Corolário 1</w:t>
      </w:r>
      <w:r w:rsidRPr="00E34530">
        <w:t xml:space="preserve"> decorre diretamente: qualquer sistema exatamente agregável, derivado de utilidade, com rank 3 no sentido de Lewbel (1991) necessariamente tem </w:t>
      </w:r>
      <m:oMath>
        <m:r>
          <w:rPr>
            <w:rFonts w:ascii="Cambria Math" w:hAnsi="Cambria Math"/>
          </w:rPr>
          <m:t>g(x)=(</m:t>
        </m:r>
        <m:r>
          <m:rPr>
            <m:sty m:val="p"/>
          </m:rPr>
          <w:rPr>
            <w:rFonts w:ascii="Cambria Math" w:hAnsi="Cambria Math"/>
          </w:rPr>
          <m:t>ln</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oMath>
      <w:r w:rsidRPr="00E34530">
        <w:t xml:space="preserve">, ou seja, as participações no orçamento são quadráticas no logaritmo da despesa. Rank 3 é o máximo possível para qualquer sistema linear em funções da renda (Gorman, 1981). </w:t>
      </w:r>
    </w:p>
    <w:p w14:paraId="1EC9AF54" w14:textId="06D642D4" w:rsidR="00E34530" w:rsidRPr="00E34530" w:rsidRDefault="00E34530" w:rsidP="00E34530">
      <w:pPr>
        <w:jc w:val="both"/>
      </w:pPr>
      <w:r w:rsidRPr="00E34530">
        <w:t xml:space="preserve">O </w:t>
      </w:r>
      <w:r w:rsidRPr="00E34530">
        <w:rPr>
          <w:b/>
          <w:bCs/>
        </w:rPr>
        <w:t>Corolário 2</w:t>
      </w:r>
      <w:r w:rsidRPr="00E34530">
        <w:t xml:space="preserve"> revela uma implicação surpreendente: é impossível que os coeficientes do termo quadrático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E34530">
        <w:t>) e do termo linear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34530">
        <w:t xml:space="preserve">) sejam ambos constantes (independentes de preços) num sistema de rank 3 com derivação de utilidade. Portanto, qualquer extensão natural do AIDS que simplesmente adicione um termo </w:t>
      </w:r>
      <m:oMath>
        <m:d>
          <m:dPr>
            <m:endChr m:val=""/>
            <m:ctrlPr>
              <w:rPr>
                <w:rFonts w:ascii="Cambria Math" w:hAnsi="Cambria Math"/>
              </w:rPr>
            </m:ctrlPr>
          </m:dPr>
          <m:e>
            <m:r>
              <w:rPr>
                <w:rFonts w:ascii="Cambria Math" w:hAnsi="Cambria Math"/>
              </w:rPr>
              <m:t>lnx</m:t>
            </m:r>
            <m:sSup>
              <m:sSupPr>
                <m:ctrlPr>
                  <w:rPr>
                    <w:rFonts w:ascii="Cambria Math" w:hAnsi="Cambria Math"/>
                  </w:rPr>
                </m:ctrlPr>
              </m:sSupPr>
              <m:e>
                <m:r>
                  <w:rPr>
                    <w:rFonts w:ascii="Cambria Math" w:hAnsi="Cambria Math"/>
                  </w:rPr>
                  <m:t>)</m:t>
                </m:r>
              </m:e>
              <m:sup>
                <m:r>
                  <w:rPr>
                    <w:rFonts w:ascii="Cambria Math" w:hAnsi="Cambria Math"/>
                  </w:rPr>
                  <m:t>2</m:t>
                </m:r>
              </m:sup>
            </m:sSup>
          </m:e>
        </m:d>
      </m:oMath>
      <w:r w:rsidRPr="00E34530">
        <w:t xml:space="preserve">com coeficiente constante viola a teoria. Os coeficientes do termo quadrático precisam variar com os preços. </w:t>
      </w:r>
    </w:p>
    <w:p w14:paraId="3A57E9F4" w14:textId="77777777" w:rsidR="00E34530" w:rsidRPr="00E34530" w:rsidRDefault="00660C65" w:rsidP="00E34530">
      <w:pPr>
        <w:jc w:val="both"/>
      </w:pPr>
      <w:r>
        <w:pict w14:anchorId="679B2C2B">
          <v:rect id="_x0000_i1028" style="width:0;height:1.5pt" o:hralign="center" o:hrstd="t" o:hr="t" fillcolor="#a0a0a0" stroked="f"/>
        </w:pict>
      </w:r>
    </w:p>
    <w:p w14:paraId="59B71792" w14:textId="77777777" w:rsidR="00E34530" w:rsidRPr="00E34530" w:rsidRDefault="00E34530" w:rsidP="00E34530">
      <w:pPr>
        <w:jc w:val="both"/>
        <w:rPr>
          <w:b/>
          <w:bCs/>
        </w:rPr>
      </w:pPr>
      <w:r w:rsidRPr="00E34530">
        <w:rPr>
          <w:b/>
          <w:bCs/>
        </w:rPr>
        <w:t>O modelo QUAIDS</w:t>
      </w:r>
    </w:p>
    <w:p w14:paraId="60102563" w14:textId="77777777" w:rsidR="00E34530" w:rsidRPr="00E34530" w:rsidRDefault="00E34530" w:rsidP="00E34530">
      <w:pPr>
        <w:jc w:val="both"/>
      </w:pPr>
      <w:r w:rsidRPr="00E34530">
        <w:t xml:space="preserve">Com base nos resultados teóricos, os autores propõem o </w:t>
      </w:r>
      <w:r w:rsidRPr="00E34530">
        <w:rPr>
          <w:b/>
          <w:bCs/>
        </w:rPr>
        <w:t>Quadratic Almost Ideal Demand System (QUAIDS)</w:t>
      </w:r>
      <w:r w:rsidRPr="00E34530">
        <w:t>, especificado pela utilidade indireta acima com:</w:t>
      </w:r>
    </w:p>
    <w:p w14:paraId="66772FA3" w14:textId="4A0C54DD" w:rsidR="00E34530" w:rsidRPr="00E34530" w:rsidRDefault="00E34530" w:rsidP="00E34530">
      <w:pPr>
        <w:jc w:val="both"/>
      </w:pPr>
      <m:oMathPara>
        <m:oMath>
          <m:r>
            <m:rPr>
              <m:sty m:val="p"/>
            </m:rPr>
            <w:rPr>
              <w:rFonts w:ascii="Cambria Math" w:hAnsi="Cambria Math"/>
            </w:rPr>
            <w:lastRenderedPageBreak/>
            <m:t>ln</m:t>
          </m:r>
          <m:r>
            <w:rPr>
              <w:rFonts w:ascii="Cambria Math" w:hAnsi="Cambria Math"/>
            </w:rPr>
            <m:t>⁡a(p)=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br/>
          </m:r>
        </m:oMath>
        <m:oMath>
          <m:r>
            <w:rPr>
              <w:rFonts w:ascii="Cambria Math" w:hAnsi="Cambria Math"/>
            </w:rPr>
            <m:t>b(p)=</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p</m:t>
                  </m:r>
                </m:e>
                <m:sub>
                  <m:r>
                    <w:rPr>
                      <w:rFonts w:ascii="Cambria Math" w:hAnsi="Cambria Math"/>
                    </w:rPr>
                    <m:t>i</m:t>
                  </m:r>
                </m:sub>
                <m:sup>
                  <m:sSub>
                    <m:sSubPr>
                      <m:ctrlPr>
                        <w:rPr>
                          <w:rFonts w:ascii="Cambria Math" w:hAnsi="Cambria Math"/>
                        </w:rPr>
                      </m:ctrlPr>
                    </m:sSubPr>
                    <m:e>
                      <m:r>
                        <w:rPr>
                          <w:rFonts w:ascii="Cambria Math" w:hAnsi="Cambria Math"/>
                        </w:rPr>
                        <m:t>β</m:t>
                      </m:r>
                    </m:e>
                    <m:sub>
                      <m:r>
                        <w:rPr>
                          <w:rFonts w:ascii="Cambria Math" w:hAnsi="Cambria Math"/>
                        </w:rPr>
                        <m:t>i</m:t>
                      </m:r>
                    </m:sub>
                  </m:sSub>
                </m:sup>
              </m:sSubSup>
            </m:e>
          </m:nary>
          <m:r>
            <w:rPr>
              <w:rFonts w:ascii="Cambria Math" w:hAnsi="Cambria Math"/>
            </w:rPr>
            <m:t>,λ(p)=</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nor/>
            </m:rPr>
            <m:t>com</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λ</m:t>
                  </m:r>
                </m:e>
                <m:sub>
                  <m:r>
                    <w:rPr>
                      <w:rFonts w:ascii="Cambria Math" w:hAnsi="Cambria Math"/>
                    </w:rPr>
                    <m:t>i</m:t>
                  </m:r>
                </m:sub>
              </m:sSub>
            </m:e>
          </m:nary>
          <m:r>
            <w:rPr>
              <w:rFonts w:ascii="Cambria Math" w:hAnsi="Cambria Math"/>
            </w:rPr>
            <m:t>=0</m:t>
          </m:r>
          <m:r>
            <m:rPr>
              <m:sty m:val="p"/>
            </m:rPr>
            <w:br/>
          </m:r>
        </m:oMath>
      </m:oMathPara>
    </w:p>
    <w:p w14:paraId="056B76E8" w14:textId="77777777" w:rsidR="00E34530" w:rsidRPr="00E34530" w:rsidRDefault="00E34530" w:rsidP="00E34530">
      <w:pPr>
        <w:jc w:val="both"/>
      </w:pPr>
      <w:r w:rsidRPr="00E34530">
        <w:t>As participações no orçamento resultantes são:</w:t>
      </w:r>
    </w:p>
    <w:p w14:paraId="06BD4AF9" w14:textId="1093F34E" w:rsidR="00E34530" w:rsidRPr="00E34530" w:rsidRDefault="00660C65" w:rsidP="00E34530">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a</m:t>
                  </m:r>
                  <m:r>
                    <w:rPr>
                      <w:rFonts w:ascii="Cambria Math" w:hAnsi="Cambria Math"/>
                    </w:rPr>
                    <m:t>(</m:t>
                  </m:r>
                  <m:r>
                    <w:rPr>
                      <w:rFonts w:ascii="Cambria Math" w:hAnsi="Cambria Math"/>
                    </w:rPr>
                    <m:t>p</m:t>
                  </m:r>
                  <m:r>
                    <w:rPr>
                      <w:rFonts w:ascii="Cambria Math" w:hAnsi="Cambria Math"/>
                    </w:rPr>
                    <m:t>)</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m:t>
              </m:r>
              <m:r>
                <w:rPr>
                  <w:rFonts w:ascii="Cambria Math" w:hAnsi="Cambria Math"/>
                </w:rPr>
                <m:t>(</m:t>
              </m:r>
              <m:r>
                <w:rPr>
                  <w:rFonts w:ascii="Cambria Math" w:hAnsi="Cambria Math"/>
                </w:rPr>
                <m:t>p</m:t>
              </m:r>
              <m:r>
                <w:rPr>
                  <w:rFonts w:ascii="Cambria Math" w:hAnsi="Cambria Math"/>
                </w:rPr>
                <m:t>)</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ln</m:t>
                  </m:r>
                </m:e>
                <m:e>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a</m:t>
                          </m:r>
                          <m:r>
                            <w:rPr>
                              <w:rFonts w:ascii="Cambria Math" w:hAnsi="Cambria Math"/>
                            </w:rPr>
                            <m:t>(</m:t>
                          </m:r>
                          <m:r>
                            <w:rPr>
                              <w:rFonts w:ascii="Cambria Math" w:hAnsi="Cambria Math"/>
                            </w:rPr>
                            <m:t>p</m:t>
                          </m:r>
                          <m:r>
                            <w:rPr>
                              <w:rFonts w:ascii="Cambria Math" w:hAnsi="Cambria Math"/>
                            </w:rPr>
                            <m:t>)</m:t>
                          </m:r>
                        </m:den>
                      </m:f>
                    </m:e>
                  </m:d>
                </m:e>
              </m:d>
            </m:e>
            <m:sup>
              <m:r>
                <w:rPr>
                  <w:rFonts w:ascii="Cambria Math" w:hAnsi="Cambria Math"/>
                </w:rPr>
                <m:t>2</m:t>
              </m:r>
            </m:sup>
          </m:sSup>
          <m:r>
            <m:rPr>
              <m:sty m:val="p"/>
            </m:rPr>
            <w:br/>
          </m:r>
        </m:oMath>
      </m:oMathPara>
    </w:p>
    <w:p w14:paraId="26F1D7C6" w14:textId="7980F209" w:rsidR="00E34530" w:rsidRPr="00E34530" w:rsidRDefault="00E34530" w:rsidP="00E34530">
      <w:pPr>
        <w:jc w:val="both"/>
      </w:pPr>
      <w:r w:rsidRPr="00E34530">
        <w:t xml:space="preserve">O QUAIDS </w:t>
      </w:r>
      <w:r w:rsidR="0031682A">
        <w:t>modifica</w:t>
      </w:r>
      <w:r w:rsidRPr="00E34530">
        <w:t xml:space="preserve"> o AIDS (quando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=0</m:t>
        </m:r>
      </m:oMath>
      <w:r w:rsidRPr="00E34530">
        <w:t xml:space="preserve">para todo </w:t>
      </w:r>
      <m:oMath>
        <m:r>
          <w:rPr>
            <w:rFonts w:ascii="Cambria Math" w:hAnsi="Cambria Math"/>
          </w:rPr>
          <m:t>i</m:t>
        </m:r>
      </m:oMath>
      <w:r w:rsidRPr="00E34530">
        <w:t xml:space="preserve">) e o Translog de Jorgenson et al., e introduz o mínimo de parâmetros adicionais compatíveis com rank 3. A elasticidade-despesa é dada por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oMath>
      <w:r w:rsidRPr="00E34530">
        <w:t xml:space="preserve">, onde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/∂ln</m:t>
        </m:r>
        <m:r>
          <w:rPr>
            <w:rFonts w:ascii="Cambria Math" w:hAnsi="Cambria Math"/>
          </w:rPr>
          <m:t>⁡m=</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b(p)⋅</m:t>
        </m:r>
        <m:r>
          <m:rPr>
            <m:sty m:val="p"/>
          </m:rPr>
          <w:rPr>
            <w:rFonts w:ascii="Cambria Math" w:hAnsi="Cambria Math"/>
          </w:rPr>
          <m:t>ln</m:t>
        </m:r>
        <m:r>
          <w:rPr>
            <w:rFonts w:ascii="Cambria Math" w:hAnsi="Cambria Math"/>
          </w:rPr>
          <m:t>⁡[m</m:t>
        </m:r>
        <m:r>
          <m:rPr>
            <m:sty m:val="p"/>
          </m:rPr>
          <w:rPr>
            <w:rFonts w:ascii="Cambria Math" w:hAnsi="Cambria Math"/>
          </w:rPr>
          <m:t>/</m:t>
        </m:r>
        <m:r>
          <w:rPr>
            <w:rFonts w:ascii="Cambria Math" w:hAnsi="Cambria Math"/>
          </w:rPr>
          <m:t>a(p)]</m:t>
        </m:r>
      </m:oMath>
      <w:r w:rsidRPr="00E34530">
        <w:t xml:space="preserve">. Bens com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&gt;0</m:t>
        </m:r>
      </m:oMath>
      <w:r w:rsidRPr="00E34530">
        <w:t xml:space="preserve">e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&lt;0</m:t>
        </m:r>
      </m:oMath>
      <w:r w:rsidRPr="00E34530">
        <w:t xml:space="preserve">são luxos em níveis baixos de despesa e necessidades em níveis altos, padrão observado para álcool e vestuário. </w:t>
      </w:r>
    </w:p>
    <w:p w14:paraId="26EF8BF1" w14:textId="77777777" w:rsidR="00E34530" w:rsidRPr="00E34530" w:rsidRDefault="00660C65" w:rsidP="00E34530">
      <w:pPr>
        <w:jc w:val="both"/>
      </w:pPr>
      <w:r>
        <w:pict w14:anchorId="46FA6C53">
          <v:rect id="_x0000_i1029" style="width:0;height:1.5pt" o:hralign="center" o:hrstd="t" o:hr="t" fillcolor="#a0a0a0" stroked="f"/>
        </w:pict>
      </w:r>
    </w:p>
    <w:p w14:paraId="4ED85B31" w14:textId="77777777" w:rsidR="00E34530" w:rsidRPr="00E34530" w:rsidRDefault="00E34530" w:rsidP="00E34530">
      <w:pPr>
        <w:jc w:val="both"/>
        <w:rPr>
          <w:b/>
          <w:bCs/>
        </w:rPr>
      </w:pPr>
      <w:r w:rsidRPr="00E34530">
        <w:rPr>
          <w:b/>
          <w:bCs/>
        </w:rPr>
        <w:t>Estimação</w:t>
      </w:r>
    </w:p>
    <w:p w14:paraId="5D2F3AF2" w14:textId="7456F480" w:rsidR="00E34530" w:rsidRPr="00E34530" w:rsidRDefault="00E34530" w:rsidP="00E34530">
      <w:pPr>
        <w:jc w:val="both"/>
      </w:pPr>
      <w:r w:rsidRPr="00E34530">
        <w:t xml:space="preserve">O modelo é estimado por GMM num procedimento em dois estágios usando a amostra completa do FES (1970–1986), com 4.785 observações e 68 pontos de preços trimestrais. A endogeneidade de </w:t>
      </w:r>
      <m:oMath>
        <m:func>
          <m:funcPr>
            <m:ctrlPr>
              <w:rPr>
                <w:rFonts w:ascii="Cambria Math" w:hAnsi="Cambria Math"/>
              </w:rPr>
            </m:ctrlPr>
          </m:funcPr>
          <m:fName>
            <m:r>
              <m:rPr>
                <m:sty m:val="p"/>
              </m:rPr>
              <w:rPr>
                <w:rFonts w:ascii="Cambria Math" w:hAnsi="Cambria Math"/>
              </w:rPr>
              <m:t>ln</m:t>
            </m:r>
          </m:fName>
          <m:e>
            <m:r>
              <w:rPr>
                <w:rFonts w:ascii="Cambria Math" w:hAnsi="Cambria Math"/>
              </w:rPr>
              <m:t>m</m:t>
            </m:r>
          </m:e>
        </m:func>
      </m:oMath>
      <w:r w:rsidRPr="00E34530">
        <w:t xml:space="preserve">é tratada via o resíduo da forma reduzida (método Wu-Hausman), e as restrições de simetria de Slutsky são impostas via estimador de distância mínima ótima na segunda etapa. Os resultados principais são: </w:t>
      </w:r>
    </w:p>
    <w:p w14:paraId="77F52F13" w14:textId="77777777" w:rsidR="00E34530" w:rsidRPr="00E34530" w:rsidRDefault="00E34530" w:rsidP="00E34530">
      <w:pPr>
        <w:numPr>
          <w:ilvl w:val="0"/>
          <w:numId w:val="5"/>
        </w:numPr>
        <w:jc w:val="both"/>
      </w:pPr>
      <w:r w:rsidRPr="00E34530">
        <w:t>Termos quadráticos são estatisticamente significativos para vestuário e álcool, mas não para alimentação e combustível.</w:t>
      </w:r>
    </w:p>
    <w:p w14:paraId="141BF1F4" w14:textId="01F1899A" w:rsidR="00E34530" w:rsidRPr="00E34530" w:rsidRDefault="00E34530" w:rsidP="00E34530">
      <w:pPr>
        <w:numPr>
          <w:ilvl w:val="0"/>
          <w:numId w:val="5"/>
        </w:numPr>
        <w:jc w:val="both"/>
      </w:pPr>
      <w:r w:rsidRPr="00E34530">
        <w:t xml:space="preserve">As restrições de simetria não são rejeitadas pelo teste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E34530">
        <w:t xml:space="preserve">. </w:t>
      </w:r>
    </w:p>
    <w:p w14:paraId="0F1DCF79" w14:textId="77777777" w:rsidR="00E34530" w:rsidRPr="00E34530" w:rsidRDefault="00E34530" w:rsidP="00E34530">
      <w:pPr>
        <w:numPr>
          <w:ilvl w:val="0"/>
          <w:numId w:val="5"/>
        </w:numPr>
        <w:jc w:val="both"/>
      </w:pPr>
      <w:r w:rsidRPr="00E34530">
        <w:t>A negatividade semidefinida da matriz de Slutsky é satisfeita na quase totalidade da amostra, com exceção de domicílios de despesa muito alta.</w:t>
      </w:r>
    </w:p>
    <w:p w14:paraId="05AD006B" w14:textId="77777777" w:rsidR="00E34530" w:rsidRDefault="00E34530" w:rsidP="00E34530">
      <w:pPr>
        <w:numPr>
          <w:ilvl w:val="0"/>
          <w:numId w:val="5"/>
        </w:numPr>
        <w:jc w:val="both"/>
      </w:pPr>
      <w:r w:rsidRPr="00E34530">
        <w:t>As elasticidades-preço próprias são negativas para todos os bens em todos os percentis.</w:t>
      </w:r>
    </w:p>
    <w:p w14:paraId="5F2989B8" w14:textId="77777777" w:rsidR="003B533F" w:rsidRDefault="003B533F" w:rsidP="003B533F">
      <w:pPr>
        <w:jc w:val="both"/>
        <w:rPr>
          <w:b/>
          <w:bCs/>
        </w:rPr>
      </w:pPr>
    </w:p>
    <w:p w14:paraId="69328DBB" w14:textId="7AAD2320" w:rsidR="003B533F" w:rsidRPr="003B533F" w:rsidRDefault="003B533F" w:rsidP="003B533F">
      <w:pPr>
        <w:jc w:val="both"/>
        <w:rPr>
          <w:b/>
          <w:bCs/>
        </w:rPr>
      </w:pPr>
      <w:r w:rsidRPr="003B533F">
        <w:rPr>
          <w:b/>
          <w:bCs/>
        </w:rPr>
        <w:t>Passo a passo da estimação</w:t>
      </w:r>
    </w:p>
    <w:p w14:paraId="58AB58D4" w14:textId="77777777" w:rsidR="003B533F" w:rsidRPr="00234275" w:rsidRDefault="003B533F" w:rsidP="003B533F">
      <w:pPr>
        <w:jc w:val="both"/>
        <w:rPr>
          <w:b/>
          <w:bCs/>
        </w:rPr>
      </w:pPr>
      <w:r w:rsidRPr="00234275">
        <w:rPr>
          <w:b/>
          <w:bCs/>
        </w:rPr>
        <w:t>Função custo QUAIDS</w:t>
      </w:r>
    </w:p>
    <w:p w14:paraId="407BA41E" w14:textId="77777777" w:rsidR="003B533F" w:rsidRPr="00234275" w:rsidRDefault="003B533F" w:rsidP="003B533F">
      <w:pPr>
        <w:jc w:val="both"/>
      </w:pPr>
      <w:r w:rsidRPr="00234275">
        <w:t>Banks, Blundell e Lewbel partem de uma classe mais ampla que chamam de rank-3 demand systems (contra o rank-2 do AIDS). A função custo resultante é:</w:t>
      </w:r>
    </w:p>
    <w:p w14:paraId="4851E478" w14:textId="40202A82" w:rsidR="003B533F" w:rsidRPr="00234275" w:rsidRDefault="003B533F" w:rsidP="003B533F">
      <w:pPr>
        <w:jc w:val="both"/>
      </w:pPr>
      <m:oMathPara>
        <m:oMath>
          <m:r>
            <m:rPr>
              <m:sty m:val="p"/>
            </m:rPr>
            <w:rPr>
              <w:rFonts w:ascii="Cambria Math" w:hAnsi="Cambria Math"/>
            </w:rPr>
            <w:lastRenderedPageBreak/>
            <m:t>log</m:t>
          </m:r>
          <m:r>
            <w:rPr>
              <w:rFonts w:ascii="Cambria Math" w:hAnsi="Cambria Math"/>
            </w:rPr>
            <m:t>⁡c(u,p)=</m:t>
          </m:r>
          <m:r>
            <m:rPr>
              <m:sty m:val="p"/>
            </m:rPr>
            <w:rPr>
              <w:rFonts w:ascii="Cambria Math" w:hAnsi="Cambria Math"/>
            </w:rPr>
            <m:t>log</m:t>
          </m:r>
          <m:r>
            <w:rPr>
              <w:rFonts w:ascii="Cambria Math" w:hAnsi="Cambria Math"/>
            </w:rPr>
            <m:t>⁡a(p)+</m:t>
          </m:r>
          <m:f>
            <m:fPr>
              <m:ctrlPr>
                <w:rPr>
                  <w:rFonts w:ascii="Cambria Math" w:hAnsi="Cambria Math"/>
                </w:rPr>
              </m:ctrlPr>
            </m:fPr>
            <m:num>
              <m:r>
                <w:rPr>
                  <w:rFonts w:ascii="Cambria Math" w:hAnsi="Cambria Math"/>
                </w:rPr>
                <m:t>b(p)⋅u</m:t>
              </m:r>
            </m:num>
            <m:den>
              <m:r>
                <w:rPr>
                  <w:rFonts w:ascii="Cambria Math" w:hAnsi="Cambria Math"/>
                </w:rPr>
                <m:t>1-u⋅λ(p)</m:t>
              </m:r>
            </m:den>
          </m:f>
          <m:r>
            <w:rPr>
              <w:rFonts w:ascii="Cambria Math" w:hAnsi="Cambria Math"/>
            </w:rPr>
            <m:t>,</m:t>
          </m:r>
          <m:r>
            <w:rPr>
              <w:rFonts w:ascii="Cambria Math" w:hAnsi="Cambria Math"/>
            </w:rPr>
            <w:br/>
          </m:r>
        </m:oMath>
      </m:oMathPara>
      <w:r w:rsidRPr="00234275">
        <w:t>onde a(p) e b(p) têm exatamente as mesmas formas flexíveis do AIDS (b(p) é a parte Cobb-Douglas,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e </w:t>
      </w:r>
      <w:r w:rsidRPr="00234275">
        <w:rPr>
          <w:rFonts w:ascii="Aptos" w:hAnsi="Aptos" w:cs="Aptos"/>
        </w:rPr>
        <w:t>λ</w:t>
      </w:r>
      <w:r w:rsidRPr="00234275">
        <w:t xml:space="preserve">(p) </w:t>
      </w:r>
      <w:r w:rsidRPr="00234275">
        <w:rPr>
          <w:rFonts w:ascii="Aptos" w:hAnsi="Aptos" w:cs="Aptos"/>
        </w:rPr>
        <w:t>é</w:t>
      </w:r>
      <w:r w:rsidRPr="00234275">
        <w:t xml:space="preserve"> uma nova fun</w:t>
      </w:r>
      <w:r w:rsidRPr="00234275">
        <w:rPr>
          <w:rFonts w:ascii="Aptos" w:hAnsi="Aptos" w:cs="Aptos"/>
        </w:rPr>
        <w:t>çã</w:t>
      </w:r>
      <w:r w:rsidRPr="00234275">
        <w:t>o homog</w:t>
      </w:r>
      <w:r w:rsidRPr="00234275">
        <w:rPr>
          <w:rFonts w:ascii="Aptos" w:hAnsi="Aptos" w:cs="Aptos"/>
        </w:rPr>
        <w:t>ê</w:t>
      </w:r>
      <w:r w:rsidRPr="00234275">
        <w:t>nea de grau zero nos pre</w:t>
      </w:r>
      <w:r w:rsidRPr="00234275">
        <w:rPr>
          <w:rFonts w:ascii="Aptos" w:hAnsi="Aptos" w:cs="Aptos"/>
        </w:rPr>
        <w:t>ç</w:t>
      </w:r>
      <w:r w:rsidRPr="00234275">
        <w:t>os, tipicamente especificada como</w:t>
      </w:r>
    </w:p>
    <w:p w14:paraId="08B6B9C5" w14:textId="77777777" w:rsidR="003B533F" w:rsidRPr="00234275" w:rsidRDefault="003B533F" w:rsidP="003B533F">
      <w:pPr>
        <w:jc w:val="both"/>
      </w:pPr>
      <m:oMathPara>
        <m:oMath>
          <m:r>
            <w:rPr>
              <w:rFonts w:ascii="Cambria Math" w:hAnsi="Cambria Math"/>
            </w:rPr>
            <m:t>λ(p)=</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λ</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nor/>
            </m:rPr>
            <m:t xml:space="preserve">com </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=0.</m:t>
          </m:r>
          <m:r>
            <w:rPr>
              <w:rFonts w:ascii="Cambria Math" w:hAnsi="Cambria Math"/>
            </w:rPr>
            <w:br/>
          </m:r>
        </m:oMath>
      </m:oMathPara>
    </w:p>
    <w:p w14:paraId="65017CCD" w14:textId="77777777" w:rsidR="003B533F" w:rsidRPr="00234275" w:rsidRDefault="003B533F" w:rsidP="003B533F">
      <w:pPr>
        <w:jc w:val="both"/>
      </w:pPr>
      <w:r w:rsidRPr="00234275">
        <w:t>A restrição ∑ λ</w:t>
      </w:r>
      <w:r w:rsidRPr="00234275">
        <w:rPr>
          <w:rFonts w:ascii="Cambria Math" w:hAnsi="Cambria Math" w:cs="Cambria Math"/>
        </w:rPr>
        <w:t>ₖ</w:t>
      </w:r>
      <w:r w:rsidRPr="00234275">
        <w:t xml:space="preserve"> = 0 garante homogeneidade de grau zero de </w:t>
      </w:r>
      <w:r w:rsidRPr="00234275">
        <w:rPr>
          <w:rFonts w:ascii="Aptos" w:hAnsi="Aptos" w:cs="Aptos"/>
        </w:rPr>
        <w:t>λ</w:t>
      </w:r>
      <w:r w:rsidRPr="00234275">
        <w:t>(p).</w:t>
      </w:r>
    </w:p>
    <w:p w14:paraId="051DB432" w14:textId="77777777" w:rsidR="003B533F" w:rsidRPr="00234275" w:rsidRDefault="003B533F" w:rsidP="003B533F">
      <w:pPr>
        <w:jc w:val="both"/>
        <w:rPr>
          <w:b/>
          <w:bCs/>
        </w:rPr>
      </w:pPr>
      <w:r w:rsidRPr="00234275">
        <w:rPr>
          <w:b/>
          <w:bCs/>
        </w:rPr>
        <w:t>Equação de demanda QUAIDS</w:t>
      </w:r>
    </w:p>
    <w:p w14:paraId="5F968EF8" w14:textId="77777777" w:rsidR="003B533F" w:rsidRPr="00234275" w:rsidRDefault="003B533F" w:rsidP="003B533F">
      <w:pPr>
        <w:jc w:val="both"/>
      </w:pPr>
      <w:r w:rsidRPr="00234275">
        <w:t>Aplicando novamente Shephard e invertendo para obter u em termos de x, p, chega-se à equação de share do QUAIDS:</w:t>
      </w:r>
    </w:p>
    <w:p w14:paraId="2DF7B1C3" w14:textId="77777777" w:rsidR="003B533F" w:rsidRPr="00234275" w:rsidRDefault="003B533F" w:rsidP="003B533F">
      <w:pPr>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w:rPr>
                  <w:rFonts w:ascii="Cambria Math" w:hAnsi="Cambria Math"/>
                </w:rPr>
                <m:t>,</m:t>
              </m:r>
            </m:e>
          </m:borderBox>
          <m:r>
            <m:rPr>
              <m:sty m:val="p"/>
            </m:rPr>
            <w:rPr>
              <w:rFonts w:ascii="Cambria Math" w:hAnsi="Cambria Math"/>
            </w:rPr>
            <w:br/>
          </m:r>
        </m:oMath>
      </m:oMathPara>
    </w:p>
    <w:p w14:paraId="126B4E60" w14:textId="77777777" w:rsidR="003B533F" w:rsidRPr="00234275" w:rsidRDefault="003B533F" w:rsidP="003B533F">
      <w:pPr>
        <w:jc w:val="both"/>
      </w:pPr>
      <w:r w:rsidRPr="00234275">
        <w:t>onde P = a(p) é o mesmo índice de preços do AIDS, e b(p) =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w:t>
      </w:r>
      <w:r w:rsidRPr="00234275">
        <w:rPr>
          <w:rFonts w:ascii="Aptos" w:hAnsi="Aptos" w:cs="Aptos"/>
        </w:rPr>
        <w:t>é</w:t>
      </w:r>
      <w:r w:rsidRPr="00234275">
        <w:t xml:space="preserve"> um deflator adicional ("price aggregator" de Cobb-Douglas).</w:t>
      </w:r>
    </w:p>
    <w:p w14:paraId="39AA65C2" w14:textId="77777777" w:rsidR="003B533F" w:rsidRPr="00234275" w:rsidRDefault="003B533F" w:rsidP="003B533F">
      <w:pPr>
        <w:jc w:val="both"/>
        <w:rPr>
          <w:b/>
          <w:bCs/>
        </w:rPr>
      </w:pPr>
      <w:r w:rsidRPr="00234275">
        <w:rPr>
          <w:b/>
          <w:bCs/>
        </w:rPr>
        <w:t>Interpretação e propriedades</w:t>
      </w:r>
    </w:p>
    <w:p w14:paraId="590E95BF" w14:textId="77777777" w:rsidR="003B533F" w:rsidRPr="00234275" w:rsidRDefault="003B533F" w:rsidP="003B533F">
      <w:pPr>
        <w:jc w:val="both"/>
      </w:pPr>
      <w:r w:rsidRPr="00234275">
        <w:t>O termo novo é λ</w:t>
      </w:r>
      <w:r w:rsidRPr="00234275">
        <w:rPr>
          <w:rFonts w:ascii="Arial" w:hAnsi="Arial" w:cs="Arial"/>
        </w:rPr>
        <w:t>ᵢ</w:t>
      </w:r>
      <w:r w:rsidRPr="00234275">
        <w:t xml:space="preserve"> [log(x/P)]² / b(p). Os coeficientes λ</w:t>
      </w:r>
      <w:r w:rsidRPr="00234275">
        <w:rPr>
          <w:rFonts w:ascii="Arial" w:hAnsi="Arial" w:cs="Arial"/>
        </w:rPr>
        <w:t>ᵢ</w:t>
      </w:r>
      <w:r w:rsidRPr="00234275">
        <w:t xml:space="preserve"> controlam a curvatura da curva de Engel:</w:t>
      </w:r>
    </w:p>
    <w:p w14:paraId="1F93AB29" w14:textId="77777777" w:rsidR="003B533F" w:rsidRPr="00234275" w:rsidRDefault="003B533F" w:rsidP="003B533F">
      <w:pPr>
        <w:jc w:val="both"/>
      </w:pPr>
      <w:r w:rsidRPr="00234275">
        <w:t>Se λ</w:t>
      </w:r>
      <w:r w:rsidRPr="00234275">
        <w:rPr>
          <w:rFonts w:ascii="Arial" w:hAnsi="Arial" w:cs="Arial"/>
        </w:rPr>
        <w:t>ᵢ</w:t>
      </w:r>
      <w:r w:rsidRPr="00234275">
        <w:t xml:space="preserve"> = 0 para todo i, o QUAIDS colapsa exatamente no AIDS.</w:t>
      </w:r>
    </w:p>
    <w:p w14:paraId="7F1A1783" w14:textId="77777777" w:rsidR="003B533F" w:rsidRPr="00234275" w:rsidRDefault="003B533F" w:rsidP="003B533F">
      <w:pPr>
        <w:jc w:val="both"/>
      </w:pPr>
      <w:r w:rsidRPr="00234275">
        <w:t>Se λ</w:t>
      </w:r>
      <w:r w:rsidRPr="00234275">
        <w:rPr>
          <w:rFonts w:ascii="Arial" w:hAnsi="Arial" w:cs="Arial"/>
        </w:rPr>
        <w:t>ᵢ</w:t>
      </w:r>
      <w:r w:rsidRPr="00234275">
        <w:t xml:space="preserve"> &gt; 0, a participação do bem cresce mais rápido em níveis altos de log x (curvatura para cima).</w:t>
      </w:r>
    </w:p>
    <w:p w14:paraId="2704F1B4" w14:textId="77777777" w:rsidR="003B533F" w:rsidRPr="00234275" w:rsidRDefault="003B533F" w:rsidP="003B533F">
      <w:pPr>
        <w:jc w:val="both"/>
      </w:pPr>
      <w:r w:rsidRPr="00234275">
        <w:t>Se λ</w:t>
      </w:r>
      <w:r w:rsidRPr="00234275">
        <w:rPr>
          <w:rFonts w:ascii="Arial" w:hAnsi="Arial" w:cs="Arial"/>
        </w:rPr>
        <w:t>ᵢ</w:t>
      </w:r>
      <w:r w:rsidRPr="00234275">
        <w:t xml:space="preserve"> &lt; 0, a participação cresce mais devagar ou até decresce em níveis altos de log x.</w:t>
      </w:r>
    </w:p>
    <w:p w14:paraId="03B95CA3" w14:textId="77777777" w:rsidR="003B533F" w:rsidRPr="00234275" w:rsidRDefault="003B533F" w:rsidP="003B533F">
      <w:pPr>
        <w:jc w:val="both"/>
      </w:pPr>
      <w:r w:rsidRPr="00234275">
        <w:t>A soma ∑ λ</w:t>
      </w:r>
      <w:r w:rsidRPr="00234275">
        <w:rPr>
          <w:rFonts w:ascii="Arial" w:hAnsi="Arial" w:cs="Arial"/>
        </w:rPr>
        <w:t>ᵢ</w:t>
      </w:r>
      <w:r w:rsidRPr="00234275">
        <w:t xml:space="preserve"> = 0 é imposta por adicionalidade. Homogeneidade e simetria de Slutsky no QUAIDS impõem as mesmas restrições sobre γ</w:t>
      </w:r>
      <w:r w:rsidRPr="00234275">
        <w:rPr>
          <w:rFonts w:ascii="Arial" w:hAnsi="Arial" w:cs="Arial"/>
        </w:rPr>
        <w:t>ᵢⱼ</w:t>
      </w:r>
      <w:r w:rsidRPr="00234275">
        <w:t xml:space="preserve"> que no AIDS: ∑</w:t>
      </w:r>
      <w:r w:rsidRPr="00234275">
        <w:rPr>
          <w:rFonts w:ascii="Arial" w:hAnsi="Arial" w:cs="Arial"/>
        </w:rPr>
        <w:t>ⱼ</w:t>
      </w:r>
      <w:r w:rsidRPr="00234275">
        <w:t xml:space="preserve"> </w:t>
      </w:r>
      <w:r w:rsidRPr="00234275">
        <w:rPr>
          <w:rFonts w:ascii="Aptos" w:hAnsi="Aptos" w:cs="Aptos"/>
        </w:rPr>
        <w:t>γ</w:t>
      </w:r>
      <w:r w:rsidRPr="00234275">
        <w:rPr>
          <w:rFonts w:ascii="Arial" w:hAnsi="Arial" w:cs="Arial"/>
        </w:rPr>
        <w:t>ᵢⱼ</w:t>
      </w:r>
      <w:r w:rsidRPr="00234275">
        <w:t xml:space="preserve"> = 0 e γ</w:t>
      </w:r>
      <w:r w:rsidRPr="00234275">
        <w:rPr>
          <w:rFonts w:ascii="Arial" w:hAnsi="Arial" w:cs="Arial"/>
        </w:rPr>
        <w:t>ᵢⱼ</w:t>
      </w:r>
      <w:r w:rsidRPr="00234275">
        <w:t xml:space="preserve"> = γ</w:t>
      </w:r>
      <w:r w:rsidRPr="00234275">
        <w:rPr>
          <w:rFonts w:ascii="Arial" w:hAnsi="Arial" w:cs="Arial"/>
        </w:rPr>
        <w:t>ⱼᵢ</w:t>
      </w:r>
      <w:r w:rsidRPr="00234275">
        <w:t>.</w:t>
      </w:r>
    </w:p>
    <w:p w14:paraId="79238F4F" w14:textId="77777777" w:rsidR="003B533F" w:rsidRPr="00234275" w:rsidRDefault="003B533F" w:rsidP="003B533F">
      <w:pPr>
        <w:jc w:val="both"/>
        <w:rPr>
          <w:b/>
          <w:bCs/>
        </w:rPr>
      </w:pPr>
      <w:r w:rsidRPr="00234275">
        <w:rPr>
          <w:b/>
          <w:bCs/>
        </w:rPr>
        <w:t>Estimação</w:t>
      </w:r>
    </w:p>
    <w:p w14:paraId="643DCF72" w14:textId="77777777" w:rsidR="003B533F" w:rsidRPr="00234275" w:rsidRDefault="003B533F" w:rsidP="003B533F">
      <w:pPr>
        <w:jc w:val="both"/>
      </w:pPr>
      <w:r w:rsidRPr="00234275">
        <w:t xml:space="preserve">O QUAIDS </w:t>
      </w:r>
      <w:r w:rsidRPr="00234275">
        <w:rPr>
          <w:i/>
          <w:iCs/>
        </w:rPr>
        <w:t>não é</w:t>
      </w:r>
      <w:r w:rsidRPr="00234275">
        <w:t xml:space="preserve"> linear nos parâmetros, nem mesmo com o índice de Stone, por causa do termo b(p) no denominador e da presença de [log(x/P)]². A estimação é tipicamente feita por NLSUR (Nonlinear Seemingly Unrelated Regressions) ou GMM. Poi e Blundell forneceram um comando pronto no Stata (quaids), e há implementações em R (pacote micEconAids).</w:t>
      </w:r>
    </w:p>
    <w:p w14:paraId="32EB3F1D" w14:textId="77777777" w:rsidR="003B533F" w:rsidRDefault="003B533F" w:rsidP="003B533F">
      <w:pPr>
        <w:jc w:val="both"/>
        <w:rPr>
          <w:b/>
          <w:bCs/>
        </w:rPr>
      </w:pPr>
    </w:p>
    <w:p w14:paraId="24C1CF49" w14:textId="77777777" w:rsidR="003B533F" w:rsidRDefault="003B533F" w:rsidP="003B533F">
      <w:pPr>
        <w:jc w:val="both"/>
        <w:rPr>
          <w:b/>
          <w:bCs/>
        </w:rPr>
      </w:pPr>
    </w:p>
    <w:p w14:paraId="2F1E1A07" w14:textId="05E10678" w:rsidR="003B533F" w:rsidRPr="004934C7" w:rsidRDefault="003B533F" w:rsidP="003B533F">
      <w:pPr>
        <w:jc w:val="both"/>
        <w:rPr>
          <w:b/>
          <w:bCs/>
        </w:rPr>
      </w:pPr>
      <w:r w:rsidRPr="004934C7">
        <w:rPr>
          <w:b/>
          <w:bCs/>
        </w:rPr>
        <w:lastRenderedPageBreak/>
        <w:t xml:space="preserve">Elasticidades </w:t>
      </w:r>
      <w:r>
        <w:rPr>
          <w:b/>
          <w:bCs/>
        </w:rPr>
        <w:t xml:space="preserve">no </w:t>
      </w:r>
      <w:r w:rsidRPr="004934C7">
        <w:rPr>
          <w:b/>
          <w:bCs/>
        </w:rPr>
        <w:t>QUAIDS</w:t>
      </w:r>
    </w:p>
    <w:p w14:paraId="30D93E02" w14:textId="77777777" w:rsidR="003B533F" w:rsidRPr="004934C7" w:rsidRDefault="003B533F" w:rsidP="003B533F">
      <w:pPr>
        <w:jc w:val="both"/>
      </w:pPr>
      <w:r w:rsidRPr="004934C7">
        <w:t>Relembrando a equação de share:</w:t>
      </w:r>
    </w:p>
    <w:p w14:paraId="192CA6CC" w14:textId="77777777" w:rsidR="003B533F" w:rsidRPr="004934C7" w:rsidRDefault="003B533F" w:rsidP="003B533F">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w:rPr>
              <w:rFonts w:ascii="Cambria Math" w:hAnsi="Cambria Math"/>
            </w:rPr>
            <m:t>,</m:t>
          </m:r>
          <m:r>
            <w:rPr>
              <w:rFonts w:ascii="Cambria Math" w:hAnsi="Cambria Math"/>
            </w:rPr>
            <w:br/>
          </m:r>
        </m:oMath>
      </m:oMathPara>
    </w:p>
    <w:p w14:paraId="6107B24E" w14:textId="77777777" w:rsidR="003B533F" w:rsidRPr="004934C7" w:rsidRDefault="003B533F" w:rsidP="003B533F">
      <w:pPr>
        <w:jc w:val="both"/>
      </w:pPr>
      <w:r w:rsidRPr="004934C7">
        <w:t>com b(p) = ∏</w:t>
      </w:r>
      <w:r w:rsidRPr="004934C7">
        <w:rPr>
          <w:rFonts w:ascii="Cambria Math" w:hAnsi="Cambria Math" w:cs="Cambria Math"/>
        </w:rPr>
        <w:t>ₖ</w:t>
      </w:r>
      <w:r w:rsidRPr="004934C7">
        <w:t xml:space="preserve"> p</w:t>
      </w:r>
      <w:r w:rsidRPr="004934C7">
        <w:rPr>
          <w:rFonts w:ascii="Cambria Math" w:hAnsi="Cambria Math" w:cs="Cambria Math"/>
        </w:rPr>
        <w:t>ₖ</w:t>
      </w:r>
      <w:r w:rsidRPr="004934C7">
        <w:t>^</w:t>
      </w:r>
      <w:r w:rsidRPr="004934C7">
        <w:rPr>
          <w:rFonts w:ascii="Aptos" w:hAnsi="Aptos" w:cs="Aptos"/>
        </w:rPr>
        <w:t>β</w:t>
      </w:r>
      <w:r w:rsidRPr="004934C7">
        <w:rPr>
          <w:rFonts w:ascii="Cambria Math" w:hAnsi="Cambria Math" w:cs="Cambria Math"/>
        </w:rPr>
        <w:t>ₖ</w:t>
      </w:r>
      <w:r w:rsidRPr="004934C7">
        <w:t xml:space="preserve"> e log P como antes.</w:t>
      </w:r>
    </w:p>
    <w:p w14:paraId="7F503E23" w14:textId="77777777" w:rsidR="003B533F" w:rsidRPr="004934C7" w:rsidRDefault="003B533F" w:rsidP="003B533F">
      <w:pPr>
        <w:jc w:val="both"/>
      </w:pPr>
      <w:r w:rsidRPr="004934C7">
        <w:t>Banks, Blundell e Lewbel (1997) derivam as elasticidades em forma explícita. A estratégia é a mesma do AIDS: obter ∂w</w:t>
      </w:r>
      <w:r w:rsidRPr="004934C7">
        <w:rPr>
          <w:rFonts w:ascii="Arial" w:hAnsi="Arial" w:cs="Arial"/>
        </w:rPr>
        <w:t>ᵢ</w:t>
      </w:r>
      <w:r w:rsidRPr="004934C7">
        <w:t xml:space="preserve"> / ∂ log x e ∂w</w:t>
      </w:r>
      <w:r w:rsidRPr="004934C7">
        <w:rPr>
          <w:rFonts w:ascii="Arial" w:hAnsi="Arial" w:cs="Arial"/>
        </w:rPr>
        <w:t>ᵢ</w:t>
      </w:r>
      <w:r w:rsidRPr="004934C7">
        <w:t xml:space="preserve"> / ∂ log p</w:t>
      </w:r>
      <w:r w:rsidRPr="004934C7">
        <w:rPr>
          <w:rFonts w:ascii="Arial" w:hAnsi="Arial" w:cs="Arial"/>
        </w:rPr>
        <w:t>ⱼ</w:t>
      </w:r>
      <w:r w:rsidRPr="004934C7">
        <w:t>, depois converter em elasticidades via as rela</w:t>
      </w:r>
      <w:r w:rsidRPr="004934C7">
        <w:rPr>
          <w:rFonts w:ascii="Aptos" w:hAnsi="Aptos" w:cs="Aptos"/>
        </w:rPr>
        <w:t>çõ</w:t>
      </w:r>
      <w:r w:rsidRPr="004934C7">
        <w:t>es padr</w:t>
      </w:r>
      <w:r w:rsidRPr="004934C7">
        <w:rPr>
          <w:rFonts w:ascii="Aptos" w:hAnsi="Aptos" w:cs="Aptos"/>
        </w:rPr>
        <w:t>ã</w:t>
      </w:r>
      <w:r w:rsidRPr="004934C7">
        <w:t>o.</w:t>
      </w:r>
    </w:p>
    <w:p w14:paraId="446CC2D2" w14:textId="77777777" w:rsidR="003B533F" w:rsidRPr="004934C7" w:rsidRDefault="003B533F" w:rsidP="003B533F">
      <w:pPr>
        <w:jc w:val="both"/>
        <w:rPr>
          <w:b/>
          <w:bCs/>
        </w:rPr>
      </w:pPr>
      <w:r w:rsidRPr="004934C7">
        <w:rPr>
          <w:b/>
          <w:bCs/>
        </w:rPr>
        <w:t>2.1 Derivadas parciais de w</w:t>
      </w:r>
      <w:r w:rsidRPr="004934C7">
        <w:rPr>
          <w:rFonts w:ascii="Arial" w:hAnsi="Arial" w:cs="Arial"/>
          <w:b/>
          <w:bCs/>
        </w:rPr>
        <w:t>ᵢ</w:t>
      </w:r>
    </w:p>
    <w:p w14:paraId="1B7AC0BE" w14:textId="77777777" w:rsidR="003B533F" w:rsidRPr="004934C7" w:rsidRDefault="003B533F" w:rsidP="003B533F">
      <w:pPr>
        <w:jc w:val="both"/>
      </w:pPr>
      <w:r w:rsidRPr="004934C7">
        <w:t>Derivada em relação a log x:</w:t>
      </w:r>
    </w:p>
    <w:p w14:paraId="4F40F351" w14:textId="77777777" w:rsidR="003B533F" w:rsidRPr="004934C7" w:rsidRDefault="003B533F" w:rsidP="003B533F">
      <w:pPr>
        <w:jc w:val="both"/>
      </w:pPr>
      <m:oMathPara>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m:rPr>
              <m:sty m:val="p"/>
            </m:rPr>
            <w:rPr>
              <w:rFonts w:ascii="Cambria Math" w:hAnsi="Cambria Math"/>
            </w:rPr>
            <m:t>.</m:t>
          </m:r>
          <m:r>
            <m:rPr>
              <m:sty m:val="p"/>
            </m:rPr>
            <w:rPr>
              <w:rFonts w:ascii="Cambria Math" w:hAnsi="Cambria Math"/>
            </w:rPr>
            <w:br/>
          </m:r>
        </m:oMath>
      </m:oMathPara>
    </w:p>
    <w:p w14:paraId="09C35068" w14:textId="77777777" w:rsidR="003B533F" w:rsidRPr="004934C7" w:rsidRDefault="003B533F" w:rsidP="003B533F">
      <w:pPr>
        <w:jc w:val="both"/>
      </w:pPr>
      <w:r w:rsidRPr="004934C7">
        <w:t>Derivada em relação a log p</w:t>
      </w:r>
      <w:r w:rsidRPr="004934C7">
        <w:rPr>
          <w:rFonts w:ascii="Arial" w:hAnsi="Arial" w:cs="Arial"/>
        </w:rPr>
        <w:t>ⱼ</w:t>
      </w:r>
      <w:r w:rsidRPr="004934C7">
        <w:t xml:space="preserve"> (o c</w:t>
      </w:r>
      <w:r w:rsidRPr="004934C7">
        <w:rPr>
          <w:rFonts w:ascii="Aptos" w:hAnsi="Aptos" w:cs="Aptos"/>
        </w:rPr>
        <w:t>á</w:t>
      </w:r>
      <w:r w:rsidRPr="004934C7">
        <w:t xml:space="preserve">lculo </w:t>
      </w:r>
      <w:r w:rsidRPr="004934C7">
        <w:rPr>
          <w:rFonts w:ascii="Aptos" w:hAnsi="Aptos" w:cs="Aptos"/>
        </w:rPr>
        <w:t>é</w:t>
      </w:r>
      <w:r w:rsidRPr="004934C7">
        <w:t xml:space="preserve"> mais tedioso porque log P e b(p) dependem de p</w:t>
      </w:r>
      <w:r w:rsidRPr="004934C7">
        <w:rPr>
          <w:rFonts w:ascii="Arial" w:hAnsi="Arial" w:cs="Arial"/>
        </w:rPr>
        <w:t>ⱼ</w:t>
      </w:r>
      <w:r w:rsidRPr="004934C7">
        <w:t>):</w:t>
      </w:r>
    </w:p>
    <w:p w14:paraId="24F0616D" w14:textId="77777777" w:rsidR="003B533F" w:rsidRPr="004934C7" w:rsidRDefault="003B533F" w:rsidP="003B533F">
      <w:pPr>
        <w:jc w:val="both"/>
      </w:pPr>
      <m:oMathPara>
        <m:oMath>
          <m:sSub>
            <m:sSubPr>
              <m:ctrlPr>
                <w:rPr>
                  <w:rFonts w:ascii="Cambria Math" w:hAnsi="Cambria Math"/>
                </w:rPr>
              </m:ctrlPr>
            </m:sSubPr>
            <m:e>
              <m:r>
                <w:rPr>
                  <w:rFonts w:ascii="Cambria Math" w:hAnsi="Cambria Math"/>
                </w:rPr>
                <m:t>μ</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m:rPr>
              <m:sty m:val="p"/>
            </m:rPr>
            <w:rPr>
              <w:rFonts w:ascii="Cambria Math" w:hAnsi="Cambria Math"/>
            </w:rPr>
            <m:t>.</m:t>
          </m:r>
          <m:r>
            <m:rPr>
              <m:sty m:val="p"/>
            </m:rPr>
            <w:rPr>
              <w:rFonts w:ascii="Cambria Math" w:hAnsi="Cambria Math"/>
            </w:rPr>
            <w:br/>
          </m:r>
        </m:oMath>
      </m:oMathPara>
    </w:p>
    <w:p w14:paraId="34D65C8E" w14:textId="77777777" w:rsidR="003B533F" w:rsidRPr="004934C7" w:rsidRDefault="003B533F" w:rsidP="003B533F">
      <w:pPr>
        <w:jc w:val="both"/>
      </w:pPr>
      <w:r w:rsidRPr="004934C7">
        <w:t>O primeiro termo vem do γ</w:t>
      </w:r>
      <w:r w:rsidRPr="004934C7">
        <w:rPr>
          <w:rFonts w:ascii="Arial" w:hAnsi="Arial" w:cs="Arial"/>
        </w:rPr>
        <w:t>ᵢⱼ</w:t>
      </w:r>
      <w:r w:rsidRPr="004934C7">
        <w:t xml:space="preserve"> log p</w:t>
      </w:r>
      <w:r w:rsidRPr="004934C7">
        <w:rPr>
          <w:rFonts w:ascii="Arial" w:hAnsi="Arial" w:cs="Arial"/>
        </w:rPr>
        <w:t>ⱼ</w:t>
      </w:r>
      <w:r w:rsidRPr="004934C7">
        <w:t xml:space="preserve"> expl</w:t>
      </w:r>
      <w:r w:rsidRPr="004934C7">
        <w:rPr>
          <w:rFonts w:ascii="Aptos" w:hAnsi="Aptos" w:cs="Aptos"/>
        </w:rPr>
        <w:t>í</w:t>
      </w:r>
      <w:r w:rsidRPr="004934C7">
        <w:t xml:space="preserve">cito. O segundo vem da derivada de log(x/P) nos termos </w:t>
      </w:r>
      <w:r w:rsidRPr="004934C7">
        <w:rPr>
          <w:rFonts w:ascii="Aptos" w:hAnsi="Aptos" w:cs="Aptos"/>
        </w:rPr>
        <w:t>β</w:t>
      </w:r>
      <w:r w:rsidRPr="004934C7">
        <w:rPr>
          <w:rFonts w:ascii="Arial" w:hAnsi="Arial" w:cs="Arial"/>
        </w:rPr>
        <w:t>ᵢ</w:t>
      </w:r>
      <w:r w:rsidRPr="004934C7">
        <w:t xml:space="preserve"> log(x/P) e λ</w:t>
      </w:r>
      <w:r w:rsidRPr="004934C7">
        <w:rPr>
          <w:rFonts w:ascii="Arial" w:hAnsi="Arial" w:cs="Arial"/>
        </w:rPr>
        <w:t>ᵢ</w:t>
      </w:r>
      <w:r w:rsidRPr="004934C7">
        <w:t xml:space="preserve"> [log(x/P)]² / b(p), combinados via a cadeia e a definição de μ</w:t>
      </w:r>
      <w:r w:rsidRPr="004934C7">
        <w:rPr>
          <w:rFonts w:ascii="Arial" w:hAnsi="Arial" w:cs="Arial"/>
        </w:rPr>
        <w:t>ᵢ</w:t>
      </w:r>
      <w:r w:rsidRPr="004934C7">
        <w:t>. O terceiro vem da derivada de 1/b(p) = ∏ p</w:t>
      </w:r>
      <w:r w:rsidRPr="004934C7">
        <w:rPr>
          <w:rFonts w:ascii="Cambria Math" w:hAnsi="Cambria Math" w:cs="Cambria Math"/>
        </w:rPr>
        <w:t>ₖ</w:t>
      </w:r>
      <w:r w:rsidRPr="004934C7">
        <w:t>^(</w:t>
      </w:r>
      <w:r w:rsidRPr="004934C7">
        <w:rPr>
          <w:rFonts w:ascii="Aptos" w:hAnsi="Aptos" w:cs="Aptos"/>
        </w:rPr>
        <w:t>−β</w:t>
      </w:r>
      <w:r w:rsidRPr="004934C7">
        <w:rPr>
          <w:rFonts w:ascii="Cambria Math" w:hAnsi="Cambria Math" w:cs="Cambria Math"/>
        </w:rPr>
        <w:t>ₖ</w:t>
      </w:r>
      <w:r w:rsidRPr="004934C7">
        <w:t>) em rela</w:t>
      </w:r>
      <w:r w:rsidRPr="004934C7">
        <w:rPr>
          <w:rFonts w:ascii="Aptos" w:hAnsi="Aptos" w:cs="Aptos"/>
        </w:rPr>
        <w:t>çã</w:t>
      </w:r>
      <w:r w:rsidRPr="004934C7">
        <w:t>o a log p</w:t>
      </w:r>
      <w:r w:rsidRPr="004934C7">
        <w:rPr>
          <w:rFonts w:ascii="Arial" w:hAnsi="Arial" w:cs="Arial"/>
        </w:rPr>
        <w:t>ⱼ</w:t>
      </w:r>
      <w:r w:rsidRPr="004934C7">
        <w:t xml:space="preserve">, que produz </w:t>
      </w:r>
      <w:r w:rsidRPr="004934C7">
        <w:rPr>
          <w:rFonts w:ascii="Aptos" w:hAnsi="Aptos" w:cs="Aptos"/>
        </w:rPr>
        <w:t>−β</w:t>
      </w:r>
      <w:r w:rsidRPr="004934C7">
        <w:rPr>
          <w:rFonts w:ascii="Arial" w:hAnsi="Arial" w:cs="Arial"/>
        </w:rPr>
        <w:t>ⱼ</w:t>
      </w:r>
      <w:r w:rsidRPr="004934C7">
        <w:t xml:space="preserve"> / b(p).</w:t>
      </w:r>
    </w:p>
    <w:p w14:paraId="1EA971C7" w14:textId="77777777" w:rsidR="003B533F" w:rsidRPr="004934C7" w:rsidRDefault="003B533F" w:rsidP="003B533F">
      <w:pPr>
        <w:jc w:val="both"/>
        <w:rPr>
          <w:b/>
          <w:bCs/>
        </w:rPr>
      </w:pPr>
      <w:r w:rsidRPr="004934C7">
        <w:rPr>
          <w:b/>
          <w:bCs/>
        </w:rPr>
        <w:t>2.2 Elasticidade-renda</w:t>
      </w:r>
    </w:p>
    <w:p w14:paraId="657EAFFD" w14:textId="77777777" w:rsidR="003B533F" w:rsidRPr="004934C7" w:rsidRDefault="003B533F" w:rsidP="003B533F">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QUAIDS</m:t>
                  </m:r>
                </m:sup>
              </m:sSubSup>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r>
                <m:rPr>
                  <m:sty m:val="p"/>
                </m:rPr>
                <w:rPr>
                  <w:rFonts w:ascii="Cambria Math" w:hAnsi="Cambria Math"/>
                </w:rPr>
                <m:t>.</m:t>
              </m:r>
            </m:e>
          </m:borderBox>
          <m:r>
            <m:rPr>
              <m:sty m:val="p"/>
            </m:rPr>
            <w:rPr>
              <w:rFonts w:ascii="Cambria Math" w:hAnsi="Cambria Math"/>
            </w:rPr>
            <w:br/>
          </m:r>
        </m:oMath>
      </m:oMathPara>
    </w:p>
    <w:p w14:paraId="48326ECD" w14:textId="77777777" w:rsidR="003B533F" w:rsidRPr="004934C7" w:rsidRDefault="003B533F" w:rsidP="003B533F">
      <w:pPr>
        <w:jc w:val="both"/>
      </w:pPr>
      <w:r w:rsidRPr="004934C7">
        <w:t>Observação central: diferentemente do AIDS, η</w:t>
      </w:r>
      <w:r w:rsidRPr="004934C7">
        <w:rPr>
          <w:rFonts w:ascii="Arial" w:hAnsi="Arial" w:cs="Arial"/>
        </w:rPr>
        <w:t>ᵢ</w:t>
      </w:r>
      <w:r w:rsidRPr="004934C7">
        <w:t xml:space="preserve"> depende do nível de log(x/P). Esse é o ponto inteiro do QUAIDS. Um bem pode ser luxo (η</w:t>
      </w:r>
      <w:r w:rsidRPr="004934C7">
        <w:rPr>
          <w:rFonts w:ascii="Arial" w:hAnsi="Arial" w:cs="Arial"/>
        </w:rPr>
        <w:t>ᵢ</w:t>
      </w:r>
      <w:r w:rsidRPr="004934C7">
        <w:t xml:space="preserve"> &gt; 1) para famílias pobres e necessidade (η</w:t>
      </w:r>
      <w:r w:rsidRPr="004934C7">
        <w:rPr>
          <w:rFonts w:ascii="Arial" w:hAnsi="Arial" w:cs="Arial"/>
        </w:rPr>
        <w:t>ᵢ</w:t>
      </w:r>
      <w:r w:rsidRPr="004934C7">
        <w:t xml:space="preserve"> &lt; 1) para famílias ricas, se λ</w:t>
      </w:r>
      <w:r w:rsidRPr="004934C7">
        <w:rPr>
          <w:rFonts w:ascii="Arial" w:hAnsi="Arial" w:cs="Arial"/>
        </w:rPr>
        <w:t>ᵢ</w:t>
      </w:r>
      <w:r w:rsidRPr="004934C7">
        <w:t xml:space="preserve"> &lt; 0, ou vice-versa. Essa variação cruzada nos níveis de renda é precisamente o que o AIDS não consegue capturar.</w:t>
      </w:r>
    </w:p>
    <w:p w14:paraId="51D18BE8" w14:textId="77777777" w:rsidR="003B533F" w:rsidRPr="004934C7" w:rsidRDefault="003B533F" w:rsidP="003B533F">
      <w:pPr>
        <w:jc w:val="both"/>
        <w:rPr>
          <w:b/>
          <w:bCs/>
        </w:rPr>
      </w:pPr>
      <w:r w:rsidRPr="004934C7">
        <w:rPr>
          <w:b/>
          <w:bCs/>
        </w:rPr>
        <w:t>2.3 Elasticidade-preço Marshalliana</w:t>
      </w:r>
    </w:p>
    <w:p w14:paraId="6EF13086" w14:textId="77777777" w:rsidR="003B533F" w:rsidRPr="004934C7" w:rsidRDefault="003B533F" w:rsidP="003B533F">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e>
          </m:borderBox>
          <m:r>
            <m:rPr>
              <m:sty m:val="p"/>
            </m:rPr>
            <w:rPr>
              <w:rFonts w:ascii="Cambria Math" w:hAnsi="Cambria Math"/>
            </w:rPr>
            <w:br/>
          </m:r>
        </m:oMath>
      </m:oMathPara>
    </w:p>
    <w:p w14:paraId="35DF7E70" w14:textId="77777777" w:rsidR="003B533F" w:rsidRPr="004934C7" w:rsidRDefault="003B533F" w:rsidP="003B533F">
      <w:pPr>
        <w:jc w:val="both"/>
      </w:pPr>
      <w:r w:rsidRPr="004934C7">
        <w:t>Substituindo μ</w:t>
      </w:r>
      <w:r w:rsidRPr="004934C7">
        <w:rPr>
          <w:rFonts w:ascii="Arial" w:hAnsi="Arial" w:cs="Arial"/>
        </w:rPr>
        <w:t>ᵢⱼ</w:t>
      </w:r>
      <w:r w:rsidRPr="004934C7">
        <w:t>:</w:t>
      </w:r>
    </w:p>
    <w:p w14:paraId="5A026EF8" w14:textId="77777777" w:rsidR="003B533F" w:rsidRPr="004934C7" w:rsidRDefault="003B533F" w:rsidP="003B533F">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e>
              <m:sSub>
                <m:sSubPr>
                  <m:ctrlPr>
                    <w:rPr>
                      <w:rFonts w:ascii="Cambria Math" w:hAnsi="Cambria Math"/>
                    </w:rPr>
                  </m:ctrlPr>
                </m:sSubPr>
                <m:e>
                  <m:r>
                    <w:rPr>
                      <w:rFonts w:ascii="Cambria Math" w:hAnsi="Cambria Math"/>
                    </w:rPr>
                    <m:t>μ</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e>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e>
          </m:d>
          <m:r>
            <m:rPr>
              <m:sty m:val="p"/>
            </m:rPr>
            <w:rPr>
              <w:rFonts w:ascii="Cambria Math" w:hAnsi="Cambria Math"/>
            </w:rPr>
            <m:t>.</m:t>
          </m:r>
          <m:r>
            <m:rPr>
              <m:sty m:val="p"/>
            </m:rPr>
            <w:rPr>
              <w:rFonts w:ascii="Cambria Math" w:hAnsi="Cambria Math"/>
            </w:rPr>
            <w:br/>
          </m:r>
        </m:oMath>
      </m:oMathPara>
    </w:p>
    <w:p w14:paraId="2A680998" w14:textId="77777777" w:rsidR="003B533F" w:rsidRPr="004934C7" w:rsidRDefault="003B533F" w:rsidP="003B533F">
      <w:pPr>
        <w:jc w:val="both"/>
      </w:pPr>
      <w:r w:rsidRPr="004934C7">
        <w:t>Note que se λ</w:t>
      </w:r>
      <w:r w:rsidRPr="004934C7">
        <w:rPr>
          <w:rFonts w:ascii="Arial" w:hAnsi="Arial" w:cs="Arial"/>
        </w:rPr>
        <w:t>ᵢ</w:t>
      </w:r>
      <w:r w:rsidRPr="004934C7">
        <w:t xml:space="preserve"> = λ</w:t>
      </w:r>
      <w:r w:rsidRPr="004934C7">
        <w:rPr>
          <w:rFonts w:ascii="Arial" w:hAnsi="Arial" w:cs="Arial"/>
        </w:rPr>
        <w:t>ⱼ</w:t>
      </w:r>
      <w:r w:rsidRPr="004934C7">
        <w:t xml:space="preserve"> = 0 para todo i, j, temos </w:t>
      </w:r>
      <w:r w:rsidRPr="004934C7">
        <w:rPr>
          <w:rFonts w:ascii="Aptos" w:hAnsi="Aptos" w:cs="Aptos"/>
        </w:rPr>
        <w:t>μ</w:t>
      </w:r>
      <w:r w:rsidRPr="004934C7">
        <w:rPr>
          <w:rFonts w:ascii="Arial" w:hAnsi="Arial" w:cs="Arial"/>
        </w:rPr>
        <w:t>ᵢ</w:t>
      </w:r>
      <w:r w:rsidRPr="004934C7">
        <w:t xml:space="preserve"> = β</w:t>
      </w:r>
      <w:r w:rsidRPr="004934C7">
        <w:rPr>
          <w:rFonts w:ascii="Arial" w:hAnsi="Arial" w:cs="Arial"/>
        </w:rPr>
        <w:t>ᵢ</w:t>
      </w:r>
      <w:r w:rsidRPr="004934C7">
        <w:t>, o terceiro termo zera, e recuperamos exatamente a fórmula Marshalliana do AIDS, confirmando o aninhamento.</w:t>
      </w:r>
    </w:p>
    <w:p w14:paraId="7444DC77" w14:textId="77777777" w:rsidR="003B533F" w:rsidRPr="004934C7" w:rsidRDefault="003B533F" w:rsidP="003B533F">
      <w:pPr>
        <w:jc w:val="both"/>
        <w:rPr>
          <w:b/>
          <w:bCs/>
        </w:rPr>
      </w:pPr>
      <w:r w:rsidRPr="004934C7">
        <w:rPr>
          <w:b/>
          <w:bCs/>
        </w:rPr>
        <w:t>2.4 Elasticidade-preço Hicksiana</w:t>
      </w:r>
    </w:p>
    <w:p w14:paraId="10CAAFAE" w14:textId="77777777" w:rsidR="003B533F" w:rsidRPr="004934C7" w:rsidRDefault="003B533F" w:rsidP="003B533F">
      <w:pPr>
        <w:jc w:val="both"/>
      </w:pPr>
      <w:r w:rsidRPr="004934C7">
        <w:t>Pela equação de Slutsky:</w:t>
      </w:r>
    </w:p>
    <w:p w14:paraId="4AC24FCC" w14:textId="77777777" w:rsidR="003B533F" w:rsidRPr="004934C7" w:rsidRDefault="003B533F" w:rsidP="003B533F">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m:rPr>
                  <m:nor/>
                </m:rPr>
                <m:t>QUAIDS</m:t>
              </m:r>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QUAIDS</m:t>
              </m:r>
            </m:sup>
          </m:sSubSup>
          <m:r>
            <m:rPr>
              <m:sty m:val="p"/>
            </m:rPr>
            <w:rPr>
              <w:rFonts w:ascii="Cambria Math" w:hAnsi="Cambria Math"/>
            </w:rPr>
            <m:t>.</m:t>
          </m:r>
          <m:r>
            <m:rPr>
              <m:sty m:val="p"/>
            </m:rPr>
            <w:rPr>
              <w:rFonts w:ascii="Cambria Math" w:hAnsi="Cambria Math"/>
            </w:rPr>
            <w:br/>
          </m:r>
        </m:oMath>
      </m:oMathPara>
    </w:p>
    <w:p w14:paraId="1B7C17AF" w14:textId="77777777" w:rsidR="003B533F" w:rsidRPr="004934C7" w:rsidRDefault="003B533F" w:rsidP="003B533F">
      <w:pPr>
        <w:jc w:val="both"/>
      </w:pPr>
      <w:r w:rsidRPr="004934C7">
        <w:t>Em forma expandida, é a fórmula geralmente reportada nos papers aplicados e implementada no comando quaids do Stata.</w:t>
      </w:r>
    </w:p>
    <w:p w14:paraId="0EC34499" w14:textId="77777777" w:rsidR="003B533F" w:rsidRPr="00E34530" w:rsidRDefault="003B533F" w:rsidP="003B533F">
      <w:pPr>
        <w:jc w:val="both"/>
      </w:pPr>
      <w:r>
        <w:pict w14:anchorId="4B336C01">
          <v:rect id="_x0000_i1039" style="width:0;height:1.5pt" o:hralign="center" o:hrstd="t" o:hr="t" fillcolor="#a0a0a0" stroked="f"/>
        </w:pict>
      </w:r>
    </w:p>
    <w:p w14:paraId="07ED8B4D" w14:textId="77777777" w:rsidR="003B533F" w:rsidRPr="00234275" w:rsidRDefault="003B533F" w:rsidP="003B533F">
      <w:pPr>
        <w:jc w:val="both"/>
        <w:rPr>
          <w:b/>
          <w:bCs/>
        </w:rPr>
      </w:pPr>
      <w:r w:rsidRPr="00234275">
        <w:rPr>
          <w:b/>
          <w:bCs/>
        </w:rPr>
        <w:t>Comparação direta</w:t>
      </w:r>
      <w:r>
        <w:rPr>
          <w:b/>
          <w:bCs/>
        </w:rPr>
        <w:t>: AIDS e QUAIDS</w:t>
      </w:r>
    </w:p>
    <w:p w14:paraId="3F05C6F0" w14:textId="77777777" w:rsidR="003B533F" w:rsidRPr="00234275" w:rsidRDefault="003B533F" w:rsidP="003B533F">
      <w:pPr>
        <w:jc w:val="both"/>
      </w:pPr>
      <w:r w:rsidRPr="00234275">
        <w:t>A tabela abaixo resume as diferenças principais.</w:t>
      </w:r>
    </w:p>
    <w:tbl>
      <w:tblPr>
        <w:tblStyle w:val="TabelaSimples4"/>
        <w:tblW w:w="0" w:type="auto"/>
        <w:tblLook w:val="04A0" w:firstRow="1" w:lastRow="0" w:firstColumn="1" w:lastColumn="0" w:noHBand="0" w:noVBand="1"/>
      </w:tblPr>
      <w:tblGrid>
        <w:gridCol w:w="3249"/>
        <w:gridCol w:w="2140"/>
        <w:gridCol w:w="3115"/>
      </w:tblGrid>
      <w:tr w:rsidR="003B533F" w:rsidRPr="00234275" w14:paraId="12AB353F" w14:textId="77777777" w:rsidTr="00263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ADC758" w14:textId="77777777" w:rsidR="003B533F" w:rsidRPr="00234275" w:rsidRDefault="003B533F" w:rsidP="002638C0">
            <w:pPr>
              <w:spacing w:after="160" w:line="278" w:lineRule="auto"/>
              <w:jc w:val="center"/>
            </w:pPr>
            <w:r w:rsidRPr="00234275">
              <w:t>Dimensão</w:t>
            </w:r>
          </w:p>
        </w:tc>
        <w:tc>
          <w:tcPr>
            <w:tcW w:w="0" w:type="auto"/>
            <w:vAlign w:val="center"/>
            <w:hideMark/>
          </w:tcPr>
          <w:p w14:paraId="34C552DC" w14:textId="77777777" w:rsidR="003B533F" w:rsidRPr="00234275" w:rsidRDefault="003B533F" w:rsidP="002638C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34275">
              <w:t>AIDS</w:t>
            </w:r>
          </w:p>
        </w:tc>
        <w:tc>
          <w:tcPr>
            <w:tcW w:w="0" w:type="auto"/>
            <w:vAlign w:val="center"/>
            <w:hideMark/>
          </w:tcPr>
          <w:p w14:paraId="11089E3D" w14:textId="77777777" w:rsidR="003B533F" w:rsidRPr="00234275" w:rsidRDefault="003B533F" w:rsidP="002638C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34275">
              <w:t>QUAIDS</w:t>
            </w:r>
          </w:p>
        </w:tc>
      </w:tr>
      <w:tr w:rsidR="003B533F" w:rsidRPr="00234275" w14:paraId="2B6FFC72"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6765F" w14:textId="77777777" w:rsidR="003B533F" w:rsidRPr="00234275" w:rsidRDefault="003B533F" w:rsidP="002638C0">
            <w:pPr>
              <w:spacing w:after="160" w:line="278" w:lineRule="auto"/>
              <w:jc w:val="center"/>
            </w:pPr>
            <w:r w:rsidRPr="00234275">
              <w:t>Função custo base</w:t>
            </w:r>
          </w:p>
        </w:tc>
        <w:tc>
          <w:tcPr>
            <w:tcW w:w="0" w:type="auto"/>
            <w:vAlign w:val="center"/>
            <w:hideMark/>
          </w:tcPr>
          <w:p w14:paraId="5797F519"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PIGLOG, rank 2</w:t>
            </w:r>
          </w:p>
        </w:tc>
        <w:tc>
          <w:tcPr>
            <w:tcW w:w="0" w:type="auto"/>
            <w:vAlign w:val="center"/>
            <w:hideMark/>
          </w:tcPr>
          <w:p w14:paraId="7BA2B112"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Extensão rank 3</w:t>
            </w:r>
          </w:p>
        </w:tc>
      </w:tr>
      <w:tr w:rsidR="003B533F" w:rsidRPr="00234275" w14:paraId="2D10EDC9"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347377" w14:textId="77777777" w:rsidR="003B533F" w:rsidRPr="00234275" w:rsidRDefault="003B533F" w:rsidP="002638C0">
            <w:pPr>
              <w:spacing w:after="160" w:line="278" w:lineRule="auto"/>
              <w:jc w:val="center"/>
            </w:pPr>
            <w:r w:rsidRPr="00234275">
              <w:t>Forma da equação de share</w:t>
            </w:r>
          </w:p>
        </w:tc>
        <w:tc>
          <w:tcPr>
            <w:tcW w:w="0" w:type="auto"/>
            <w:vAlign w:val="center"/>
            <w:hideMark/>
          </w:tcPr>
          <w:p w14:paraId="313E4BBC"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w</w:t>
            </w:r>
            <w:r w:rsidRPr="00234275">
              <w:rPr>
                <w:rFonts w:ascii="Arial" w:hAnsi="Arial" w:cs="Arial"/>
              </w:rPr>
              <w:t>ᵢ</w:t>
            </w:r>
            <w:r w:rsidRPr="00234275">
              <w:t xml:space="preserve"> = α</w:t>
            </w:r>
            <w:r w:rsidRPr="00234275">
              <w:rPr>
                <w:rFonts w:ascii="Arial" w:hAnsi="Arial" w:cs="Arial"/>
              </w:rPr>
              <w:t>ᵢ</w:t>
            </w:r>
            <w:r w:rsidRPr="00234275">
              <w:t xml:space="preserve"> + Σ γ</w:t>
            </w:r>
            <w:r w:rsidRPr="00234275">
              <w:rPr>
                <w:rFonts w:ascii="Arial" w:hAnsi="Arial" w:cs="Arial"/>
              </w:rPr>
              <w:t>ᵢⱼ</w:t>
            </w:r>
            <w:r w:rsidRPr="00234275">
              <w:t xml:space="preserve"> log p</w:t>
            </w:r>
            <w:r w:rsidRPr="00234275">
              <w:rPr>
                <w:rFonts w:ascii="Arial" w:hAnsi="Arial" w:cs="Arial"/>
              </w:rPr>
              <w:t>ⱼ</w:t>
            </w:r>
            <w:r w:rsidRPr="00234275">
              <w:t xml:space="preserve"> + </w:t>
            </w:r>
            <w:r w:rsidRPr="00234275">
              <w:rPr>
                <w:rFonts w:ascii="Aptos" w:hAnsi="Aptos" w:cs="Aptos"/>
              </w:rPr>
              <w:t>β</w:t>
            </w:r>
            <w:r w:rsidRPr="00234275">
              <w:rPr>
                <w:rFonts w:ascii="Arial" w:hAnsi="Arial" w:cs="Arial"/>
              </w:rPr>
              <w:t>ᵢ</w:t>
            </w:r>
            <w:r w:rsidRPr="00234275">
              <w:t xml:space="preserve"> log(x/P)</w:t>
            </w:r>
          </w:p>
        </w:tc>
        <w:tc>
          <w:tcPr>
            <w:tcW w:w="0" w:type="auto"/>
            <w:vAlign w:val="center"/>
            <w:hideMark/>
          </w:tcPr>
          <w:p w14:paraId="3DEC4B48"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Idem + λ</w:t>
            </w:r>
            <w:r w:rsidRPr="00234275">
              <w:rPr>
                <w:rFonts w:ascii="Arial" w:hAnsi="Arial" w:cs="Arial"/>
              </w:rPr>
              <w:t>ᵢ</w:t>
            </w:r>
            <w:r w:rsidRPr="00234275">
              <w:t xml:space="preserve"> [log(x/P)]² / b(p)</w:t>
            </w:r>
          </w:p>
        </w:tc>
      </w:tr>
      <w:tr w:rsidR="003B533F" w:rsidRPr="00234275" w14:paraId="384E3EE3"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7F0FAF" w14:textId="77777777" w:rsidR="003B533F" w:rsidRPr="00234275" w:rsidRDefault="003B533F" w:rsidP="002638C0">
            <w:pPr>
              <w:spacing w:after="160" w:line="278" w:lineRule="auto"/>
              <w:jc w:val="center"/>
            </w:pPr>
            <w:r w:rsidRPr="00234275">
              <w:t>Curva de Engel (com preços fixos)</w:t>
            </w:r>
          </w:p>
        </w:tc>
        <w:tc>
          <w:tcPr>
            <w:tcW w:w="0" w:type="auto"/>
            <w:vAlign w:val="center"/>
            <w:hideMark/>
          </w:tcPr>
          <w:p w14:paraId="0E899A59"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Linear em log x</w:t>
            </w:r>
          </w:p>
        </w:tc>
        <w:tc>
          <w:tcPr>
            <w:tcW w:w="0" w:type="auto"/>
            <w:vAlign w:val="center"/>
            <w:hideMark/>
          </w:tcPr>
          <w:p w14:paraId="4FF2FFDA"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Quadrática em log x</w:t>
            </w:r>
          </w:p>
        </w:tc>
      </w:tr>
      <w:tr w:rsidR="003B533F" w:rsidRPr="00234275" w14:paraId="4D7F3497"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CF6B80" w14:textId="77777777" w:rsidR="003B533F" w:rsidRPr="00234275" w:rsidRDefault="003B533F" w:rsidP="002638C0">
            <w:pPr>
              <w:spacing w:after="160" w:line="278" w:lineRule="auto"/>
              <w:jc w:val="center"/>
            </w:pPr>
            <w:r w:rsidRPr="00234275">
              <w:t>Rank do sistema (Lewbel, 1991)</w:t>
            </w:r>
          </w:p>
        </w:tc>
        <w:tc>
          <w:tcPr>
            <w:tcW w:w="0" w:type="auto"/>
            <w:vAlign w:val="center"/>
            <w:hideMark/>
          </w:tcPr>
          <w:p w14:paraId="2C5BC998"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2</w:t>
            </w:r>
          </w:p>
        </w:tc>
        <w:tc>
          <w:tcPr>
            <w:tcW w:w="0" w:type="auto"/>
            <w:vAlign w:val="center"/>
            <w:hideMark/>
          </w:tcPr>
          <w:p w14:paraId="5851999E"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3</w:t>
            </w:r>
          </w:p>
        </w:tc>
      </w:tr>
      <w:tr w:rsidR="003B533F" w:rsidRPr="00234275" w14:paraId="51C8526C"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157CE" w14:textId="77777777" w:rsidR="003B533F" w:rsidRPr="00234275" w:rsidRDefault="003B533F" w:rsidP="002638C0">
            <w:pPr>
              <w:spacing w:after="160" w:line="278" w:lineRule="auto"/>
              <w:jc w:val="center"/>
            </w:pPr>
            <w:r w:rsidRPr="00234275">
              <w:t>Linearidade nos parâmetros</w:t>
            </w:r>
          </w:p>
        </w:tc>
        <w:tc>
          <w:tcPr>
            <w:tcW w:w="0" w:type="auto"/>
            <w:vAlign w:val="center"/>
            <w:hideMark/>
          </w:tcPr>
          <w:p w14:paraId="4862303C"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 (com aprox. de Stone)</w:t>
            </w:r>
          </w:p>
        </w:tc>
        <w:tc>
          <w:tcPr>
            <w:tcW w:w="0" w:type="auto"/>
            <w:vAlign w:val="center"/>
            <w:hideMark/>
          </w:tcPr>
          <w:p w14:paraId="79E142B0"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Não, exige NLSUR/GMM</w:t>
            </w:r>
          </w:p>
        </w:tc>
      </w:tr>
      <w:tr w:rsidR="003B533F" w:rsidRPr="00234275" w14:paraId="0CF3BB16"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0ED613" w14:textId="77777777" w:rsidR="003B533F" w:rsidRPr="00234275" w:rsidRDefault="003B533F" w:rsidP="002638C0">
            <w:pPr>
              <w:spacing w:after="160" w:line="278" w:lineRule="auto"/>
              <w:jc w:val="center"/>
            </w:pPr>
            <w:r w:rsidRPr="00234275">
              <w:t>Homogeneidade/simetria</w:t>
            </w:r>
          </w:p>
        </w:tc>
        <w:tc>
          <w:tcPr>
            <w:tcW w:w="0" w:type="auto"/>
            <w:vAlign w:val="center"/>
            <w:hideMark/>
          </w:tcPr>
          <w:p w14:paraId="0D374C68"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Restrições lineares</w:t>
            </w:r>
          </w:p>
        </w:tc>
        <w:tc>
          <w:tcPr>
            <w:tcW w:w="0" w:type="auto"/>
            <w:vAlign w:val="center"/>
            <w:hideMark/>
          </w:tcPr>
          <w:p w14:paraId="1D7AD96C"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Restrições lineares nos γ</w:t>
            </w:r>
            <w:r w:rsidRPr="00234275">
              <w:rPr>
                <w:rFonts w:ascii="Arial" w:hAnsi="Arial" w:cs="Arial"/>
              </w:rPr>
              <w:t>ᵢⱼ</w:t>
            </w:r>
            <w:r w:rsidRPr="00234275">
              <w:t>, mas o modelo é não linear globalmente</w:t>
            </w:r>
          </w:p>
        </w:tc>
      </w:tr>
      <w:tr w:rsidR="003B533F" w:rsidRPr="00234275" w14:paraId="4E431FB4"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5CECF7" w14:textId="77777777" w:rsidR="003B533F" w:rsidRPr="00234275" w:rsidRDefault="003B533F" w:rsidP="002638C0">
            <w:pPr>
              <w:spacing w:after="160" w:line="278" w:lineRule="auto"/>
              <w:jc w:val="center"/>
            </w:pPr>
            <w:r w:rsidRPr="00234275">
              <w:lastRenderedPageBreak/>
              <w:t>Luxo/necessidade</w:t>
            </w:r>
          </w:p>
        </w:tc>
        <w:tc>
          <w:tcPr>
            <w:tcW w:w="0" w:type="auto"/>
            <w:vAlign w:val="center"/>
            <w:hideMark/>
          </w:tcPr>
          <w:p w14:paraId="70FBC5D9"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Fixo, determinado pelo sinal de β</w:t>
            </w:r>
            <w:r w:rsidRPr="00234275">
              <w:rPr>
                <w:rFonts w:ascii="Arial" w:hAnsi="Arial" w:cs="Arial"/>
              </w:rPr>
              <w:t>ᵢ</w:t>
            </w:r>
          </w:p>
        </w:tc>
        <w:tc>
          <w:tcPr>
            <w:tcW w:w="0" w:type="auto"/>
            <w:vAlign w:val="center"/>
            <w:hideMark/>
          </w:tcPr>
          <w:p w14:paraId="05E21B6F"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Varia com o nível de renda (via λ</w:t>
            </w:r>
            <w:r w:rsidRPr="00234275">
              <w:rPr>
                <w:rFonts w:ascii="Arial" w:hAnsi="Arial" w:cs="Arial"/>
              </w:rPr>
              <w:t>ᵢ</w:t>
            </w:r>
            <w:r w:rsidRPr="00234275">
              <w:t>)</w:t>
            </w:r>
          </w:p>
        </w:tc>
      </w:tr>
      <w:tr w:rsidR="003B533F" w:rsidRPr="00234275" w14:paraId="7E5AAE57"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426F1" w14:textId="77777777" w:rsidR="003B533F" w:rsidRPr="00234275" w:rsidRDefault="003B533F" w:rsidP="002638C0">
            <w:pPr>
              <w:spacing w:after="160" w:line="278" w:lineRule="auto"/>
              <w:jc w:val="center"/>
            </w:pPr>
            <w:r w:rsidRPr="00234275">
              <w:t>Agregação exata</w:t>
            </w:r>
          </w:p>
        </w:tc>
        <w:tc>
          <w:tcPr>
            <w:tcW w:w="0" w:type="auto"/>
            <w:vAlign w:val="center"/>
            <w:hideMark/>
          </w:tcPr>
          <w:p w14:paraId="05F6AA45"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Sim</w:t>
            </w:r>
          </w:p>
        </w:tc>
        <w:tc>
          <w:tcPr>
            <w:tcW w:w="0" w:type="auto"/>
            <w:vAlign w:val="center"/>
            <w:hideMark/>
          </w:tcPr>
          <w:p w14:paraId="62EECDD1" w14:textId="77777777" w:rsidR="003B533F" w:rsidRPr="00234275"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Sim</w:t>
            </w:r>
          </w:p>
        </w:tc>
      </w:tr>
      <w:tr w:rsidR="003B533F" w:rsidRPr="00234275" w14:paraId="2207E26A"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DF2A60" w14:textId="77777777" w:rsidR="003B533F" w:rsidRPr="00234275" w:rsidRDefault="003B533F" w:rsidP="002638C0">
            <w:pPr>
              <w:spacing w:after="160" w:line="278" w:lineRule="auto"/>
              <w:jc w:val="center"/>
            </w:pPr>
            <w:r w:rsidRPr="00234275">
              <w:t>Flexibilidade de 1ª ordem</w:t>
            </w:r>
          </w:p>
        </w:tc>
        <w:tc>
          <w:tcPr>
            <w:tcW w:w="0" w:type="auto"/>
            <w:vAlign w:val="center"/>
            <w:hideMark/>
          </w:tcPr>
          <w:p w14:paraId="47699EEF"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w:t>
            </w:r>
          </w:p>
        </w:tc>
        <w:tc>
          <w:tcPr>
            <w:tcW w:w="0" w:type="auto"/>
            <w:vAlign w:val="center"/>
            <w:hideMark/>
          </w:tcPr>
          <w:p w14:paraId="3A030C9E" w14:textId="77777777" w:rsidR="003B533F" w:rsidRPr="00234275"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 melhor ajuste empírico</w:t>
            </w:r>
          </w:p>
        </w:tc>
      </w:tr>
    </w:tbl>
    <w:p w14:paraId="2385CE42" w14:textId="77777777" w:rsidR="003B533F" w:rsidRDefault="003B533F" w:rsidP="003B533F">
      <w:pPr>
        <w:jc w:val="both"/>
        <w:rPr>
          <w:b/>
          <w:bCs/>
        </w:rPr>
      </w:pPr>
    </w:p>
    <w:p w14:paraId="5F4673F8" w14:textId="77777777" w:rsidR="003B533F" w:rsidRDefault="003B533F" w:rsidP="003B533F">
      <w:pPr>
        <w:jc w:val="both"/>
        <w:rPr>
          <w:b/>
          <w:bCs/>
        </w:rPr>
      </w:pPr>
      <w:r>
        <w:rPr>
          <w:b/>
          <w:bCs/>
        </w:rPr>
        <w:t>Considerações sobre as elasticidades: AIDS e QUAIDS</w:t>
      </w:r>
    </w:p>
    <w:p w14:paraId="2CDBE190" w14:textId="77777777" w:rsidR="003B533F" w:rsidRPr="00362124" w:rsidRDefault="003B533F" w:rsidP="003B533F">
      <w:pPr>
        <w:jc w:val="both"/>
        <w:rPr>
          <w:b/>
          <w:bCs/>
        </w:rPr>
      </w:pPr>
      <w:r w:rsidRPr="00362124">
        <w:rPr>
          <w:b/>
          <w:bCs/>
        </w:rPr>
        <w:t>Elasticidades são pontuais</w:t>
      </w:r>
    </w:p>
    <w:p w14:paraId="0A691D71" w14:textId="77777777" w:rsidR="003B533F" w:rsidRPr="00362124" w:rsidRDefault="003B533F" w:rsidP="003B533F">
      <w:pPr>
        <w:jc w:val="both"/>
      </w:pPr>
      <w:r w:rsidRPr="00362124">
        <w:t>Em ambos os modelos, as fórmulas dependem de w</w:t>
      </w:r>
      <w:r w:rsidRPr="00362124">
        <w:rPr>
          <w:rFonts w:ascii="Arial" w:hAnsi="Arial" w:cs="Arial"/>
        </w:rPr>
        <w:t>ᵢ</w:t>
      </w:r>
      <w:r w:rsidRPr="00362124">
        <w:t>, log p</w:t>
      </w:r>
      <w:r w:rsidRPr="00362124">
        <w:rPr>
          <w:rFonts w:ascii="Arial" w:hAnsi="Arial" w:cs="Arial"/>
        </w:rPr>
        <w:t>ⱼ</w:t>
      </w:r>
      <w:r w:rsidRPr="00362124">
        <w:t xml:space="preserve"> e log(x/P). Portanto, elasticidades n</w:t>
      </w:r>
      <w:r w:rsidRPr="00362124">
        <w:rPr>
          <w:rFonts w:ascii="Aptos" w:hAnsi="Aptos" w:cs="Aptos"/>
        </w:rPr>
        <w:t>ã</w:t>
      </w:r>
      <w:r w:rsidRPr="00362124">
        <w:t>o s</w:t>
      </w:r>
      <w:r w:rsidRPr="00362124">
        <w:rPr>
          <w:rFonts w:ascii="Aptos" w:hAnsi="Aptos" w:cs="Aptos"/>
        </w:rPr>
        <w:t>ã</w:t>
      </w:r>
      <w:r w:rsidRPr="00362124">
        <w:t>o constantes, variam ao longo da amostra. Na pr</w:t>
      </w:r>
      <w:r w:rsidRPr="00362124">
        <w:rPr>
          <w:rFonts w:ascii="Aptos" w:hAnsi="Aptos" w:cs="Aptos"/>
        </w:rPr>
        <w:t>á</w:t>
      </w:r>
      <w:r w:rsidRPr="00362124">
        <w:t>tica, reporta-se elasticidades avaliadas:</w:t>
      </w:r>
    </w:p>
    <w:p w14:paraId="7D9B4081" w14:textId="77777777" w:rsidR="003B533F" w:rsidRPr="00362124" w:rsidRDefault="003B533F" w:rsidP="003B533F">
      <w:pPr>
        <w:numPr>
          <w:ilvl w:val="0"/>
          <w:numId w:val="6"/>
        </w:numPr>
        <w:jc w:val="both"/>
      </w:pPr>
      <w:r w:rsidRPr="00362124">
        <w:t>na média amostral dos dados (substituindo w</w:t>
      </w:r>
      <w:r w:rsidRPr="00362124">
        <w:rPr>
          <w:rFonts w:ascii="Arial" w:hAnsi="Arial" w:cs="Arial"/>
        </w:rPr>
        <w:t>ᵢ</w:t>
      </w:r>
      <w:r w:rsidRPr="00362124">
        <w:t xml:space="preserve"> por w̄</w:t>
      </w:r>
      <w:r w:rsidRPr="00362124">
        <w:rPr>
          <w:rFonts w:ascii="Arial" w:hAnsi="Arial" w:cs="Arial"/>
        </w:rPr>
        <w:t>ᵢ</w:t>
      </w:r>
      <w:r w:rsidRPr="00362124">
        <w:t xml:space="preserve"> e preços por suas médias),</w:t>
      </w:r>
    </w:p>
    <w:p w14:paraId="48068781" w14:textId="77777777" w:rsidR="003B533F" w:rsidRPr="00362124" w:rsidRDefault="003B533F" w:rsidP="003B533F">
      <w:pPr>
        <w:numPr>
          <w:ilvl w:val="0"/>
          <w:numId w:val="6"/>
        </w:numPr>
        <w:jc w:val="both"/>
      </w:pPr>
      <w:r w:rsidRPr="00362124">
        <w:t>na mediana,</w:t>
      </w:r>
    </w:p>
    <w:p w14:paraId="3D893668" w14:textId="77777777" w:rsidR="003B533F" w:rsidRPr="00362124" w:rsidRDefault="003B533F" w:rsidP="003B533F">
      <w:pPr>
        <w:numPr>
          <w:ilvl w:val="0"/>
          <w:numId w:val="6"/>
        </w:numPr>
        <w:jc w:val="both"/>
      </w:pPr>
      <w:r w:rsidRPr="00362124">
        <w:t>ponto a ponto, reportando a distribuição (mais informativo, especialmente com microdados).</w:t>
      </w:r>
    </w:p>
    <w:p w14:paraId="53F905C0" w14:textId="77777777" w:rsidR="003B533F" w:rsidRPr="00362124" w:rsidRDefault="003B533F" w:rsidP="003B533F">
      <w:pPr>
        <w:jc w:val="both"/>
      </w:pPr>
      <w:r w:rsidRPr="00362124">
        <w:t>Para microdados, a prática moderna é calcular elasticidades para cada família e reportar médias, medianas e percentis, o que permite ver heterogeneidade ao longo da distribuição de renda. Isso é particularmente valioso no QUAIDS, porque o modelo foi desenhado justamente para capturar essa heterogeneidade.</w:t>
      </w:r>
    </w:p>
    <w:p w14:paraId="135E8C04" w14:textId="77777777" w:rsidR="003B533F" w:rsidRPr="00362124" w:rsidRDefault="003B533F" w:rsidP="003B533F">
      <w:pPr>
        <w:jc w:val="both"/>
        <w:rPr>
          <w:b/>
          <w:bCs/>
        </w:rPr>
      </w:pPr>
      <w:r w:rsidRPr="00362124">
        <w:rPr>
          <w:b/>
          <w:bCs/>
        </w:rPr>
        <w:t>Erros-padrão das elasticidades</w:t>
      </w:r>
    </w:p>
    <w:p w14:paraId="2D2E3332" w14:textId="77777777" w:rsidR="003B533F" w:rsidRPr="00362124" w:rsidRDefault="003B533F" w:rsidP="003B533F">
      <w:pPr>
        <w:jc w:val="both"/>
      </w:pPr>
      <w:r w:rsidRPr="00362124">
        <w:t>Como as elasticidades são funções não lineares dos parâmetros estimados, os erros-padrão devem ser obtidos via Método Delta, bootstrap, ou simulação. O comando quaids do Stata faz isso automaticamente. Em R, o pacote micEconAids também.</w:t>
      </w:r>
    </w:p>
    <w:p w14:paraId="606ED26A" w14:textId="77777777" w:rsidR="003B533F" w:rsidRPr="00362124" w:rsidRDefault="003B533F" w:rsidP="003B533F">
      <w:pPr>
        <w:jc w:val="both"/>
        <w:rPr>
          <w:b/>
          <w:bCs/>
        </w:rPr>
      </w:pPr>
      <w:r w:rsidRPr="00362124">
        <w:rPr>
          <w:b/>
          <w:bCs/>
        </w:rPr>
        <w:t>Checagem de consistência teórica</w:t>
      </w:r>
    </w:p>
    <w:p w14:paraId="168B10C4" w14:textId="77777777" w:rsidR="003B533F" w:rsidRPr="00362124" w:rsidRDefault="003B533F" w:rsidP="003B533F">
      <w:pPr>
        <w:jc w:val="both"/>
      </w:pPr>
      <w:r w:rsidRPr="00362124">
        <w:t>Após calcular a matriz ε^H, vale verificar:</w:t>
      </w:r>
    </w:p>
    <w:p w14:paraId="700EE406" w14:textId="77777777" w:rsidR="003B533F" w:rsidRPr="00362124" w:rsidRDefault="003B533F" w:rsidP="003B533F">
      <w:pPr>
        <w:jc w:val="both"/>
      </w:pPr>
      <w:r w:rsidRPr="00362124">
        <w:t xml:space="preserve">Negatividade: a matriz de Slutsky (que pode ser recuperada a partir das elasticidades Hicksianas via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oMath>
      <w:r w:rsidRPr="00362124">
        <w:t xml:space="preserve">na verdade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oMath>
      <w:r w:rsidRPr="00362124">
        <w:t>em notação simétrica apropriada) deve ser semidefinida negativa. Na prática, verifica-se que os elementos diagonais ε</w:t>
      </w:r>
      <w:r w:rsidRPr="00362124">
        <w:rPr>
          <w:rFonts w:ascii="Arial" w:hAnsi="Arial" w:cs="Arial"/>
        </w:rPr>
        <w:t>ᵢᵢ</w:t>
      </w:r>
      <w:r w:rsidRPr="00362124">
        <w:t xml:space="preserve">^H sejam negativos e que a matriz completa tenha autovalores não positivos. </w:t>
      </w:r>
    </w:p>
    <w:p w14:paraId="064EBC8F" w14:textId="77777777" w:rsidR="003B533F" w:rsidRPr="00362124" w:rsidRDefault="003B533F" w:rsidP="003B533F">
      <w:pPr>
        <w:jc w:val="both"/>
      </w:pPr>
      <w:r w:rsidRPr="00362124">
        <w:lastRenderedPageBreak/>
        <w:t>Simetria: ε</w:t>
      </w:r>
      <w:r w:rsidRPr="00362124">
        <w:rPr>
          <w:rFonts w:ascii="Arial" w:hAnsi="Arial" w:cs="Arial"/>
        </w:rPr>
        <w:t>ᵢⱼ</w:t>
      </w:r>
      <w:r w:rsidRPr="00362124">
        <w:t>^H × w</w:t>
      </w:r>
      <w:r w:rsidRPr="00362124">
        <w:rPr>
          <w:rFonts w:ascii="Arial" w:hAnsi="Arial" w:cs="Arial"/>
        </w:rPr>
        <w:t>ᵢ</w:t>
      </w:r>
      <w:r w:rsidRPr="00362124">
        <w:t xml:space="preserve"> deve ser igual a ε</w:t>
      </w:r>
      <w:r w:rsidRPr="00362124">
        <w:rPr>
          <w:rFonts w:ascii="Arial" w:hAnsi="Arial" w:cs="Arial"/>
        </w:rPr>
        <w:t>ⱼᵢ</w:t>
      </w:r>
      <w:r w:rsidRPr="00362124">
        <w:t>^H × w</w:t>
      </w:r>
      <w:r w:rsidRPr="00362124">
        <w:rPr>
          <w:rFonts w:ascii="Arial" w:hAnsi="Arial" w:cs="Arial"/>
        </w:rPr>
        <w:t>ⱼ</w:t>
      </w:r>
      <w:r w:rsidRPr="00362124">
        <w:t xml:space="preserve"> (simetria de Slutsky em forma de elasticidade). Se a simetria foi imposta na estima</w:t>
      </w:r>
      <w:r w:rsidRPr="00362124">
        <w:rPr>
          <w:rFonts w:ascii="Aptos" w:hAnsi="Aptos" w:cs="Aptos"/>
        </w:rPr>
        <w:t>çã</w:t>
      </w:r>
      <w:r w:rsidRPr="00362124">
        <w:t>o (</w:t>
      </w:r>
      <w:r w:rsidRPr="00362124">
        <w:rPr>
          <w:rFonts w:ascii="Aptos" w:hAnsi="Aptos" w:cs="Aptos"/>
        </w:rPr>
        <w:t>γ</w:t>
      </w:r>
      <w:r w:rsidRPr="00362124">
        <w:rPr>
          <w:rFonts w:ascii="Arial" w:hAnsi="Arial" w:cs="Arial"/>
        </w:rPr>
        <w:t>ᵢⱼ</w:t>
      </w:r>
      <w:r w:rsidRPr="00362124">
        <w:t xml:space="preserve"> = γ</w:t>
      </w:r>
      <w:r w:rsidRPr="00362124">
        <w:rPr>
          <w:rFonts w:ascii="Arial" w:hAnsi="Arial" w:cs="Arial"/>
        </w:rPr>
        <w:t>ⱼᵢ</w:t>
      </w:r>
      <w:r w:rsidRPr="00362124">
        <w:t>), isso valerá exatamente na amostra.</w:t>
      </w:r>
    </w:p>
    <w:p w14:paraId="15A46F87" w14:textId="77777777" w:rsidR="003B533F" w:rsidRPr="00362124" w:rsidRDefault="003B533F" w:rsidP="003B533F">
      <w:pPr>
        <w:jc w:val="both"/>
      </w:pPr>
      <w:r w:rsidRPr="00362124">
        <w:t>Homogeneidade: ∑</w:t>
      </w:r>
      <w:r w:rsidRPr="00362124">
        <w:rPr>
          <w:rFonts w:ascii="Arial" w:hAnsi="Arial" w:cs="Arial"/>
        </w:rPr>
        <w:t>ⱼ</w:t>
      </w:r>
      <w:r w:rsidRPr="00362124">
        <w:t xml:space="preserve"> </w:t>
      </w:r>
      <w:r w:rsidRPr="00362124">
        <w:rPr>
          <w:rFonts w:ascii="Aptos" w:hAnsi="Aptos" w:cs="Aptos"/>
        </w:rPr>
        <w:t>ε</w:t>
      </w:r>
      <w:r w:rsidRPr="00362124">
        <w:rPr>
          <w:rFonts w:ascii="Arial" w:hAnsi="Arial" w:cs="Arial"/>
        </w:rPr>
        <w:t>ᵢⱼ</w:t>
      </w:r>
      <w:r w:rsidRPr="00362124">
        <w:t>^M + η</w:t>
      </w:r>
      <w:r w:rsidRPr="00362124">
        <w:rPr>
          <w:rFonts w:ascii="Arial" w:hAnsi="Arial" w:cs="Arial"/>
        </w:rPr>
        <w:t>ᵢ</w:t>
      </w:r>
      <w:r w:rsidRPr="00362124">
        <w:t xml:space="preserve"> = 0 para cada i (propriedade de agregação).</w:t>
      </w:r>
    </w:p>
    <w:p w14:paraId="60573CA6" w14:textId="77777777" w:rsidR="003B533F" w:rsidRPr="00362124" w:rsidRDefault="003B533F" w:rsidP="003B533F">
      <w:pPr>
        <w:jc w:val="both"/>
        <w:rPr>
          <w:b/>
          <w:bCs/>
        </w:rPr>
      </w:pPr>
      <w:r w:rsidRPr="00362124">
        <w:rPr>
          <w:b/>
          <w:bCs/>
        </w:rPr>
        <w:t>Resumo comparativo</w:t>
      </w:r>
    </w:p>
    <w:tbl>
      <w:tblPr>
        <w:tblStyle w:val="TabelaSimples4"/>
        <w:tblW w:w="0" w:type="auto"/>
        <w:tblLook w:val="04A0" w:firstRow="1" w:lastRow="0" w:firstColumn="1" w:lastColumn="0" w:noHBand="0" w:noVBand="1"/>
      </w:tblPr>
      <w:tblGrid>
        <w:gridCol w:w="2673"/>
        <w:gridCol w:w="2784"/>
        <w:gridCol w:w="3047"/>
      </w:tblGrid>
      <w:tr w:rsidR="003B533F" w:rsidRPr="00362124" w14:paraId="1F36A04C" w14:textId="77777777" w:rsidTr="00263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BE8566" w14:textId="77777777" w:rsidR="003B533F" w:rsidRPr="00362124" w:rsidRDefault="003B533F" w:rsidP="002638C0">
            <w:pPr>
              <w:spacing w:after="160" w:line="278" w:lineRule="auto"/>
              <w:jc w:val="center"/>
            </w:pPr>
            <w:r w:rsidRPr="00362124">
              <w:t>Elasticidade</w:t>
            </w:r>
          </w:p>
        </w:tc>
        <w:tc>
          <w:tcPr>
            <w:tcW w:w="0" w:type="auto"/>
            <w:vAlign w:val="center"/>
            <w:hideMark/>
          </w:tcPr>
          <w:p w14:paraId="61104C68" w14:textId="77777777" w:rsidR="003B533F" w:rsidRPr="00362124" w:rsidRDefault="003B533F" w:rsidP="002638C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62124">
              <w:t>AIDS</w:t>
            </w:r>
          </w:p>
        </w:tc>
        <w:tc>
          <w:tcPr>
            <w:tcW w:w="0" w:type="auto"/>
            <w:vAlign w:val="center"/>
            <w:hideMark/>
          </w:tcPr>
          <w:p w14:paraId="49500E05" w14:textId="77777777" w:rsidR="003B533F" w:rsidRPr="00362124" w:rsidRDefault="003B533F" w:rsidP="002638C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62124">
              <w:t>QUAIDS</w:t>
            </w:r>
          </w:p>
        </w:tc>
      </w:tr>
      <w:tr w:rsidR="003B533F" w:rsidRPr="00362124" w14:paraId="56D9D835"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B04C38" w14:textId="77777777" w:rsidR="003B533F" w:rsidRPr="00362124" w:rsidRDefault="003B533F" w:rsidP="002638C0">
            <w:pPr>
              <w:spacing w:after="160" w:line="278" w:lineRule="auto"/>
              <w:jc w:val="center"/>
            </w:pPr>
            <w:r w:rsidRPr="00362124">
              <w:t>Renda η</w:t>
            </w:r>
            <w:r w:rsidRPr="00362124">
              <w:rPr>
                <w:rFonts w:ascii="Arial" w:hAnsi="Arial" w:cs="Arial"/>
              </w:rPr>
              <w:t>ᵢ</w:t>
            </w:r>
          </w:p>
        </w:tc>
        <w:tc>
          <w:tcPr>
            <w:tcW w:w="0" w:type="auto"/>
            <w:vAlign w:val="center"/>
            <w:hideMark/>
          </w:tcPr>
          <w:p w14:paraId="3F68B432"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0" w:type="auto"/>
            <w:vAlign w:val="center"/>
            <w:hideMark/>
          </w:tcPr>
          <w:p w14:paraId="2ED5B051"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r>
                <w:rPr>
                  <w:rFonts w:ascii="Cambria Math" w:hAnsi="Cambria Math"/>
                </w:rPr>
                <m:t>1+</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 xml:space="preserve">, onde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log</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b(p)</m:t>
              </m:r>
            </m:oMath>
          </w:p>
        </w:tc>
      </w:tr>
      <w:tr w:rsidR="003B533F" w:rsidRPr="00362124" w14:paraId="1AA8F887"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485FB6" w14:textId="77777777" w:rsidR="003B533F" w:rsidRPr="00362124" w:rsidRDefault="003B533F" w:rsidP="002638C0">
            <w:pPr>
              <w:spacing w:after="160" w:line="278" w:lineRule="auto"/>
              <w:jc w:val="center"/>
            </w:pPr>
            <w:r w:rsidRPr="00362124">
              <w:t>Marshall ε</w:t>
            </w:r>
            <w:r w:rsidRPr="00362124">
              <w:rPr>
                <w:rFonts w:ascii="Arial" w:hAnsi="Arial" w:cs="Arial"/>
              </w:rPr>
              <w:t>ᵢⱼᴹ</w:t>
            </w:r>
          </w:p>
        </w:tc>
        <w:tc>
          <w:tcPr>
            <w:tcW w:w="0" w:type="auto"/>
            <w:vAlign w:val="center"/>
            <w:hideMark/>
          </w:tcPr>
          <w:p w14:paraId="398CCFFD" w14:textId="77777777" w:rsidR="003B533F" w:rsidRPr="00362124"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0" w:type="auto"/>
            <w:vAlign w:val="center"/>
            <w:hideMark/>
          </w:tcPr>
          <w:p w14:paraId="6A13F4F3" w14:textId="77777777" w:rsidR="003B533F" w:rsidRPr="00362124"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(com μ</w:t>
            </w:r>
            <w:r w:rsidRPr="00362124">
              <w:rPr>
                <w:rFonts w:ascii="Arial" w:hAnsi="Arial" w:cs="Arial"/>
              </w:rPr>
              <w:t>ᵢⱼ</w:t>
            </w:r>
            <w:r w:rsidRPr="00362124">
              <w:t xml:space="preserve"> contendo termo quadrático extra)</w:t>
            </w:r>
          </w:p>
        </w:tc>
      </w:tr>
      <w:tr w:rsidR="003B533F" w:rsidRPr="00362124" w14:paraId="67F61EFF"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531C3F" w14:textId="77777777" w:rsidR="003B533F" w:rsidRPr="00362124" w:rsidRDefault="003B533F" w:rsidP="002638C0">
            <w:pPr>
              <w:spacing w:after="160" w:line="278" w:lineRule="auto"/>
              <w:jc w:val="center"/>
            </w:pPr>
            <w:r w:rsidRPr="00362124">
              <w:t>Hicks ε</w:t>
            </w:r>
            <w:r w:rsidRPr="00362124">
              <w:rPr>
                <w:rFonts w:ascii="Arial" w:hAnsi="Arial" w:cs="Arial"/>
              </w:rPr>
              <w:t>ᵢⱼᴴ</w:t>
            </w:r>
          </w:p>
        </w:tc>
        <w:tc>
          <w:tcPr>
            <w:tcW w:w="0" w:type="auto"/>
            <w:vAlign w:val="center"/>
            <w:hideMark/>
          </w:tcPr>
          <w:p w14:paraId="126F887D"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oMath>
            <w:r w:rsidRPr="00362124">
              <w:t xml:space="preserve">(simplifica para </w:t>
            </w: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w:t>
            </w:r>
          </w:p>
        </w:tc>
        <w:tc>
          <w:tcPr>
            <w:tcW w:w="0" w:type="auto"/>
            <w:vAlign w:val="center"/>
            <w:hideMark/>
          </w:tcPr>
          <w:p w14:paraId="5BD3D097"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oMath>
            <w:r w:rsidRPr="00362124">
              <w:t>(sem simplificação compacta)</w:t>
            </w:r>
          </w:p>
        </w:tc>
      </w:tr>
      <w:tr w:rsidR="003B533F" w:rsidRPr="00362124" w14:paraId="6204A504" w14:textId="77777777" w:rsidTr="002638C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101D49" w14:textId="77777777" w:rsidR="003B533F" w:rsidRPr="00362124" w:rsidRDefault="003B533F" w:rsidP="002638C0">
            <w:pPr>
              <w:spacing w:after="160" w:line="278" w:lineRule="auto"/>
              <w:jc w:val="center"/>
            </w:pPr>
            <w:r w:rsidRPr="00362124">
              <w:t>Variação com nível de x</w:t>
            </w:r>
          </w:p>
        </w:tc>
        <w:tc>
          <w:tcPr>
            <w:tcW w:w="0" w:type="auto"/>
            <w:vAlign w:val="center"/>
            <w:hideMark/>
          </w:tcPr>
          <w:p w14:paraId="4D407500" w14:textId="77777777" w:rsidR="003B533F" w:rsidRPr="00362124"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62124">
              <w:t>Só via w</w:t>
            </w:r>
            <w:r w:rsidRPr="00362124">
              <w:rPr>
                <w:rFonts w:ascii="Arial" w:hAnsi="Arial" w:cs="Arial"/>
              </w:rPr>
              <w:t>ᵢ</w:t>
            </w:r>
            <w:r w:rsidRPr="00362124">
              <w:t>(x)</w:t>
            </w:r>
          </w:p>
        </w:tc>
        <w:tc>
          <w:tcPr>
            <w:tcW w:w="0" w:type="auto"/>
            <w:vAlign w:val="center"/>
            <w:hideMark/>
          </w:tcPr>
          <w:p w14:paraId="3CD56807" w14:textId="77777777" w:rsidR="003B533F" w:rsidRPr="00362124" w:rsidRDefault="003B533F" w:rsidP="002638C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62124">
              <w:t>Via w</w:t>
            </w:r>
            <w:r w:rsidRPr="00362124">
              <w:rPr>
                <w:rFonts w:ascii="Arial" w:hAnsi="Arial" w:cs="Arial"/>
              </w:rPr>
              <w:t>ᵢ</w:t>
            </w:r>
            <w:r w:rsidRPr="00362124">
              <w:t>(x) e via log(x/P) no termo quadrático</w:t>
            </w:r>
          </w:p>
        </w:tc>
      </w:tr>
      <w:tr w:rsidR="003B533F" w:rsidRPr="00362124" w14:paraId="7906F1A7" w14:textId="77777777" w:rsidTr="00263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3B6770" w14:textId="77777777" w:rsidR="003B533F" w:rsidRPr="00362124" w:rsidRDefault="003B533F" w:rsidP="002638C0">
            <w:pPr>
              <w:spacing w:after="160" w:line="278" w:lineRule="auto"/>
              <w:jc w:val="center"/>
            </w:pPr>
            <w:r w:rsidRPr="00362124">
              <w:t>Classificação luxo/necessidade</w:t>
            </w:r>
          </w:p>
        </w:tc>
        <w:tc>
          <w:tcPr>
            <w:tcW w:w="0" w:type="auto"/>
            <w:vAlign w:val="center"/>
            <w:hideMark/>
          </w:tcPr>
          <w:p w14:paraId="6CFC1D7C"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62124">
              <w:t>Fixa (sinal de β</w:t>
            </w:r>
            <w:r w:rsidRPr="00362124">
              <w:rPr>
                <w:rFonts w:ascii="Arial" w:hAnsi="Arial" w:cs="Arial"/>
              </w:rPr>
              <w:t>ᵢ</w:t>
            </w:r>
            <w:r w:rsidRPr="00362124">
              <w:t>)</w:t>
            </w:r>
          </w:p>
        </w:tc>
        <w:tc>
          <w:tcPr>
            <w:tcW w:w="0" w:type="auto"/>
            <w:vAlign w:val="center"/>
            <w:hideMark/>
          </w:tcPr>
          <w:p w14:paraId="1F040A2C" w14:textId="77777777" w:rsidR="003B533F" w:rsidRPr="00362124" w:rsidRDefault="003B533F" w:rsidP="002638C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62124">
              <w:t>Varia com x (permite reversão)</w:t>
            </w:r>
          </w:p>
        </w:tc>
      </w:tr>
    </w:tbl>
    <w:p w14:paraId="1A71924D" w14:textId="77777777" w:rsidR="003B533F" w:rsidRPr="00362124" w:rsidRDefault="003B533F" w:rsidP="003B533F">
      <w:pPr>
        <w:jc w:val="both"/>
      </w:pPr>
      <w:r w:rsidRPr="00362124">
        <w:t>A diferença mais substantiva, em termos econômicos, é a última linha: o QUAIDS permite que a categorização de um bem como luxo ou necessidade mude ao longo da distribuição de renda, enquanto o AIDS impõe essa categorização uniformemente. Para análise de bem-estar e desenho de política tributária (por exemplo, IVA sobre alimentos versus bens duráveis), essa flexibilidade pode ter implicações quantitativas importantes.</w:t>
      </w:r>
    </w:p>
    <w:p w14:paraId="15CD5A01" w14:textId="77777777" w:rsidR="003B533F" w:rsidRPr="00234275" w:rsidRDefault="003B533F" w:rsidP="003B533F">
      <w:pPr>
        <w:jc w:val="both"/>
        <w:rPr>
          <w:b/>
          <w:bCs/>
        </w:rPr>
      </w:pPr>
      <w:r w:rsidRPr="00234275">
        <w:rPr>
          <w:b/>
          <w:bCs/>
        </w:rPr>
        <w:t>Quando usar cada um</w:t>
      </w:r>
    </w:p>
    <w:p w14:paraId="0202967C" w14:textId="77777777" w:rsidR="003B533F" w:rsidRPr="00234275" w:rsidRDefault="003B533F" w:rsidP="003B533F">
      <w:pPr>
        <w:jc w:val="both"/>
      </w:pPr>
      <w:r w:rsidRPr="00234275">
        <w:t>Use AIDS (ou LA/AIDS) quando o foco é simplicidade, quando as curvas de Engel parecem razoavelmente lineares em log x nos dados disponíveis (tipicamente dados agregados de série temporal com pouca variação de renda), ou quando o objetivo principal é testar restrições teóricas e a estimação precisa ser rápida/robusta. Também é preferível quando há poucos graus de liberdade.</w:t>
      </w:r>
    </w:p>
    <w:p w14:paraId="3853B66A" w14:textId="77777777" w:rsidR="003B533F" w:rsidRPr="00234275" w:rsidRDefault="003B533F" w:rsidP="003B533F">
      <w:pPr>
        <w:jc w:val="both"/>
      </w:pPr>
      <w:r w:rsidRPr="00234275">
        <w:t>Use QUAIDS quando trabalha com microdados (cross-sections de famílias, como POF, FES, CEX) que apresentam ampla variação de renda e onde o teste de Banks-Blundell-Lewbel (avaliar se λ</w:t>
      </w:r>
      <w:r w:rsidRPr="00234275">
        <w:rPr>
          <w:rFonts w:ascii="Arial" w:hAnsi="Arial" w:cs="Arial"/>
        </w:rPr>
        <w:t>ᵢ</w:t>
      </w:r>
      <w:r w:rsidRPr="00234275">
        <w:t xml:space="preserve"> são estatisticamente diferentes de zero) rejeita a linearidade da curva de Engel. Em praticamente todas as aplicações modernas com microdados, o QUAIDS se tornou o padrão, porque o custo computacional </w:t>
      </w:r>
      <w:r w:rsidRPr="00234275">
        <w:lastRenderedPageBreak/>
        <w:t>extra é pequeno e o viés do AIDS na estimação de elasticidades pode ser substancial quando a verdadeira curva de Engel é curvada.</w:t>
      </w:r>
    </w:p>
    <w:p w14:paraId="7E89D028" w14:textId="77777777" w:rsidR="003B533F" w:rsidRPr="00234275" w:rsidRDefault="003B533F" w:rsidP="003B533F">
      <w:pPr>
        <w:jc w:val="both"/>
        <w:rPr>
          <w:b/>
          <w:bCs/>
        </w:rPr>
      </w:pPr>
      <w:r w:rsidRPr="00234275">
        <w:rPr>
          <w:b/>
          <w:bCs/>
        </w:rPr>
        <w:t>Relação hierárquica e teste</w:t>
      </w:r>
    </w:p>
    <w:p w14:paraId="08038299" w14:textId="77777777" w:rsidR="003B533F" w:rsidRDefault="003B533F" w:rsidP="003B533F">
      <w:pPr>
        <w:jc w:val="both"/>
      </w:pPr>
      <w:r w:rsidRPr="00234275">
        <w:t>O AIDS é um caso especial aninhado do QUAIDS (λ</w:t>
      </w:r>
      <w:r w:rsidRPr="00234275">
        <w:rPr>
          <w:rFonts w:ascii="Arial" w:hAnsi="Arial" w:cs="Arial"/>
        </w:rPr>
        <w:t>ᵢ</w:t>
      </w:r>
      <w:r w:rsidRPr="00234275">
        <w:t xml:space="preserve"> = 0 </w:t>
      </w:r>
      <w:r w:rsidRPr="00234275">
        <w:rPr>
          <w:rFonts w:ascii="Cambria Math" w:hAnsi="Cambria Math" w:cs="Cambria Math"/>
        </w:rPr>
        <w:t>∀</w:t>
      </w:r>
      <w:r w:rsidRPr="00234275">
        <w:t xml:space="preserve"> i). Portanto, testar AIDS contra QUAIDS </w:t>
      </w:r>
      <w:r w:rsidRPr="00234275">
        <w:rPr>
          <w:rFonts w:ascii="Aptos" w:hAnsi="Aptos" w:cs="Aptos"/>
        </w:rPr>
        <w:t>é</w:t>
      </w:r>
      <w:r w:rsidRPr="00234275">
        <w:t xml:space="preserve"> um teste de restri</w:t>
      </w:r>
      <w:r w:rsidRPr="00234275">
        <w:rPr>
          <w:rFonts w:ascii="Aptos" w:hAnsi="Aptos" w:cs="Aptos"/>
        </w:rPr>
        <w:t>çã</w:t>
      </w:r>
      <w:r w:rsidRPr="00234275">
        <w:t>o: um teste de raz</w:t>
      </w:r>
      <w:r w:rsidRPr="00234275">
        <w:rPr>
          <w:rFonts w:ascii="Aptos" w:hAnsi="Aptos" w:cs="Aptos"/>
        </w:rPr>
        <w:t>ã</w:t>
      </w:r>
      <w:r w:rsidRPr="00234275">
        <w:t>o de verossimilhan</w:t>
      </w:r>
      <w:r w:rsidRPr="00234275">
        <w:rPr>
          <w:rFonts w:ascii="Aptos" w:hAnsi="Aptos" w:cs="Aptos"/>
        </w:rPr>
        <w:t>ç</w:t>
      </w:r>
      <w:r w:rsidRPr="00234275">
        <w:t>a ou Wald sobre H</w:t>
      </w:r>
      <w:r w:rsidRPr="00234275">
        <w:rPr>
          <w:rFonts w:ascii="Aptos" w:hAnsi="Aptos" w:cs="Aptos"/>
        </w:rPr>
        <w:t>₀</w:t>
      </w:r>
      <w:r w:rsidRPr="00234275">
        <w:t xml:space="preserve">: </w:t>
      </w:r>
      <w:r w:rsidRPr="00234275">
        <w:rPr>
          <w:rFonts w:ascii="Aptos" w:hAnsi="Aptos" w:cs="Aptos"/>
        </w:rPr>
        <w:t>λ₁</w:t>
      </w:r>
      <w:r w:rsidRPr="00234275">
        <w:t xml:space="preserve"> = </w:t>
      </w:r>
      <w:r w:rsidRPr="00234275">
        <w:rPr>
          <w:rFonts w:ascii="Aptos" w:hAnsi="Aptos" w:cs="Aptos"/>
        </w:rPr>
        <w:t>λ₂</w:t>
      </w:r>
      <w:r w:rsidRPr="00234275">
        <w:t xml:space="preserve"> = ... = </w:t>
      </w:r>
      <w:r w:rsidRPr="00234275">
        <w:rPr>
          <w:rFonts w:ascii="Aptos" w:hAnsi="Aptos" w:cs="Aptos"/>
        </w:rPr>
        <w:t>λ</w:t>
      </w:r>
      <w:r w:rsidRPr="00234275">
        <w:rPr>
          <w:rFonts w:ascii="Cambria Math" w:hAnsi="Cambria Math" w:cs="Cambria Math"/>
        </w:rPr>
        <w:t>ₙ₋</w:t>
      </w:r>
      <w:r w:rsidRPr="00234275">
        <w:rPr>
          <w:rFonts w:ascii="Aptos" w:hAnsi="Aptos" w:cs="Aptos"/>
        </w:rPr>
        <w:t>₁</w:t>
      </w:r>
      <w:r w:rsidRPr="00234275">
        <w:t xml:space="preserve"> = 0 (com n</w:t>
      </w:r>
      <w:r w:rsidRPr="00234275">
        <w:rPr>
          <w:rFonts w:ascii="Aptos" w:hAnsi="Aptos" w:cs="Aptos"/>
        </w:rPr>
        <w:t>−</w:t>
      </w:r>
      <w:r w:rsidRPr="00234275">
        <w:t>1 graus de liberdade, dada a restri</w:t>
      </w:r>
      <w:r w:rsidRPr="00234275">
        <w:rPr>
          <w:rFonts w:ascii="Aptos" w:hAnsi="Aptos" w:cs="Aptos"/>
        </w:rPr>
        <w:t>çã</w:t>
      </w:r>
      <w:r w:rsidRPr="00234275">
        <w:t xml:space="preserve">o de adicionalidade </w:t>
      </w:r>
      <w:r w:rsidRPr="00234275">
        <w:rPr>
          <w:rFonts w:ascii="Aptos" w:hAnsi="Aptos" w:cs="Aptos"/>
        </w:rPr>
        <w:t>∑</w:t>
      </w:r>
      <w:r w:rsidRPr="00234275">
        <w:t xml:space="preserve"> </w:t>
      </w:r>
      <w:r w:rsidRPr="00234275">
        <w:rPr>
          <w:rFonts w:ascii="Aptos" w:hAnsi="Aptos" w:cs="Aptos"/>
        </w:rPr>
        <w:t>λ</w:t>
      </w:r>
      <w:r w:rsidRPr="00234275">
        <w:rPr>
          <w:rFonts w:ascii="Arial" w:hAnsi="Arial" w:cs="Arial"/>
        </w:rPr>
        <w:t>ᵢ</w:t>
      </w:r>
      <w:r w:rsidRPr="00234275">
        <w:t xml:space="preserve"> = 0). Banks, Blundell e Lewbel reportam rejeição consistente do AIDS em favor do QUAIDS para a maioria das categorias nos dados britânicos, resultado replicado depois em muitos países.</w:t>
      </w:r>
    </w:p>
    <w:p w14:paraId="543927CB" w14:textId="77777777" w:rsidR="003B533F" w:rsidRPr="00E34530" w:rsidRDefault="003B533F" w:rsidP="003B533F">
      <w:pPr>
        <w:jc w:val="both"/>
      </w:pPr>
      <w:r>
        <w:pict w14:anchorId="53FAB686">
          <v:rect id="_x0000_i1038" style="width:0;height:1.5pt" o:hralign="center" o:hrstd="t" o:hr="t" fillcolor="#a0a0a0" stroked="f"/>
        </w:pict>
      </w:r>
    </w:p>
    <w:p w14:paraId="6C398C62" w14:textId="77777777" w:rsidR="003B533F" w:rsidRPr="00E34530" w:rsidRDefault="003B533F" w:rsidP="003B533F">
      <w:pPr>
        <w:jc w:val="both"/>
        <w:rPr>
          <w:b/>
          <w:bCs/>
        </w:rPr>
      </w:pPr>
      <w:r w:rsidRPr="00E34530">
        <w:rPr>
          <w:b/>
          <w:bCs/>
        </w:rPr>
        <w:t>Análise de bem-estar</w:t>
      </w:r>
    </w:p>
    <w:p w14:paraId="76CB8701" w14:textId="77777777" w:rsidR="003B533F" w:rsidRPr="00E34530" w:rsidRDefault="003B533F" w:rsidP="003B533F">
      <w:pPr>
        <w:jc w:val="both"/>
      </w:pPr>
      <w:r w:rsidRPr="00E34530">
        <w:t>Na seção V, os autores comparam as perdas de bem-estar calculadas pelo QUAIDS e pelo AIDS padrão para uma reforma tributária hipotética: imposição de um IVA de 17,5% sobre vestuário. As variações compensatórias são positivas para todos os domicílios. O padrão de viés do AIDS é sistemático: o modelo linear subestima as perdas de bem-estar para a maioria da distribuição de renda (domicílios de renda média) e as superestima para os domicílios mais ricos e os muito pobres. Esse padrão é diretamente atribuído à incapacidade do AIDS de capturar a curvatura da curva de Engel para vestuário, bem que passa de luxo a necessidade ao longo da distribuição de renda. Para bens com curvas de Engel lineares (como alimentação), as diferenças são pequenas.</w:t>
      </w:r>
    </w:p>
    <w:p w14:paraId="790737DB" w14:textId="77777777" w:rsidR="003B533F" w:rsidRPr="00E34530" w:rsidRDefault="003B533F" w:rsidP="003B533F">
      <w:pPr>
        <w:jc w:val="both"/>
      </w:pPr>
      <w:r w:rsidRPr="00E34530">
        <w:t>Os autores também observam que equivalências de Rothbarth e Engel baseadas em álcool ou vestuário são invalidadas pelos resultados: como as participações no orçamento nesses bens não são monótonas em utilidade, domicílios ricos e pobres podem ter a mesma despesa nessas categorias, tornando inválido seu uso como indicadores de bem-estar.</w:t>
      </w:r>
    </w:p>
    <w:p w14:paraId="24F6CE90" w14:textId="77777777" w:rsidR="003B533F" w:rsidRPr="00E34530" w:rsidRDefault="003B533F" w:rsidP="003B533F">
      <w:pPr>
        <w:jc w:val="both"/>
      </w:pPr>
      <w:r>
        <w:pict w14:anchorId="455515FE">
          <v:rect id="_x0000_i1037" style="width:0;height:1.5pt" o:hralign="center" o:hrstd="t" o:hr="t" fillcolor="#a0a0a0" stroked="f"/>
        </w:pict>
      </w:r>
    </w:p>
    <w:p w14:paraId="2B5F237C" w14:textId="77777777" w:rsidR="003B533F" w:rsidRPr="00E34530" w:rsidRDefault="003B533F" w:rsidP="003B533F">
      <w:pPr>
        <w:jc w:val="both"/>
        <w:rPr>
          <w:b/>
          <w:bCs/>
        </w:rPr>
      </w:pPr>
      <w:r w:rsidRPr="00E34530">
        <w:rPr>
          <w:b/>
          <w:bCs/>
        </w:rPr>
        <w:t>Contribuição e legado</w:t>
      </w:r>
    </w:p>
    <w:p w14:paraId="7BE11639" w14:textId="77777777" w:rsidR="003B533F" w:rsidRPr="00E34530" w:rsidRDefault="003B533F" w:rsidP="003B533F">
      <w:pPr>
        <w:jc w:val="both"/>
      </w:pPr>
      <w:r w:rsidRPr="00E34530">
        <w:t xml:space="preserve">O artigo resolve de forma limpa o problema de como estender modelos PIGLOG para acomodar curvatura nas curvas de Engel mantendo a derivação a partir de utilidade. A contribuição é dupla: (i) demonstra que rank 3 força necessariamente o termo quadrático em </w:t>
      </w:r>
      <m:oMath>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oMath>
      <w:r w:rsidRPr="00E34530">
        <w:t>, e (ii) mostra que o coeficiente desse termo deve variar com preços, o que torna o QUAIDS o único caminho parcimonioso para a extensão. O QUAIDS tornou-se um dos sistemas de demanda mais utilizados na literatura aplicada, sendo referência padrão em estudos de bem-estar, política tributária e demanda alimentar.</w:t>
      </w:r>
    </w:p>
    <w:p w14:paraId="24FAD1F3" w14:textId="77777777" w:rsidR="003B533F" w:rsidRPr="00234275" w:rsidRDefault="003B533F" w:rsidP="003B533F">
      <w:pPr>
        <w:jc w:val="both"/>
      </w:pPr>
    </w:p>
    <w:p w14:paraId="7CF526D1" w14:textId="77777777" w:rsidR="003B533F" w:rsidRPr="00652375" w:rsidRDefault="003B533F" w:rsidP="00C92749">
      <w:pPr>
        <w:jc w:val="both"/>
      </w:pPr>
    </w:p>
    <w:sectPr w:rsidR="003B533F" w:rsidRPr="006523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61C"/>
    <w:multiLevelType w:val="multilevel"/>
    <w:tmpl w:val="32E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33A22"/>
    <w:multiLevelType w:val="multilevel"/>
    <w:tmpl w:val="B11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C2DC5"/>
    <w:multiLevelType w:val="multilevel"/>
    <w:tmpl w:val="42F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70606"/>
    <w:multiLevelType w:val="multilevel"/>
    <w:tmpl w:val="8B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F3A24"/>
    <w:multiLevelType w:val="multilevel"/>
    <w:tmpl w:val="79F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51C6C"/>
    <w:multiLevelType w:val="multilevel"/>
    <w:tmpl w:val="20C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6095">
    <w:abstractNumId w:val="5"/>
  </w:num>
  <w:num w:numId="2" w16cid:durableId="420641952">
    <w:abstractNumId w:val="3"/>
  </w:num>
  <w:num w:numId="3" w16cid:durableId="1473600929">
    <w:abstractNumId w:val="2"/>
  </w:num>
  <w:num w:numId="4" w16cid:durableId="1752894155">
    <w:abstractNumId w:val="4"/>
  </w:num>
  <w:num w:numId="5" w16cid:durableId="728500294">
    <w:abstractNumId w:val="0"/>
  </w:num>
  <w:num w:numId="6" w16cid:durableId="37042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9"/>
    <w:rsid w:val="00305F92"/>
    <w:rsid w:val="0031682A"/>
    <w:rsid w:val="003B533F"/>
    <w:rsid w:val="00652375"/>
    <w:rsid w:val="006B7E4C"/>
    <w:rsid w:val="007B5240"/>
    <w:rsid w:val="008D3628"/>
    <w:rsid w:val="00A17ECD"/>
    <w:rsid w:val="00A827CF"/>
    <w:rsid w:val="00B322D0"/>
    <w:rsid w:val="00B619C1"/>
    <w:rsid w:val="00C92749"/>
    <w:rsid w:val="00E17EA5"/>
    <w:rsid w:val="00E34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1B5"/>
  <w15:chartTrackingRefBased/>
  <w15:docId w15:val="{B9909A75-C194-4A97-A375-CBFDA2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2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2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2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2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2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2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27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7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27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27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27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27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27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27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27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2749"/>
    <w:rPr>
      <w:rFonts w:eastAsiaTheme="majorEastAsia" w:cstheme="majorBidi"/>
      <w:color w:val="272727" w:themeColor="text1" w:themeTint="D8"/>
    </w:rPr>
  </w:style>
  <w:style w:type="paragraph" w:styleId="Ttulo">
    <w:name w:val="Title"/>
    <w:basedOn w:val="Normal"/>
    <w:next w:val="Normal"/>
    <w:link w:val="TtuloChar"/>
    <w:uiPriority w:val="10"/>
    <w:qFormat/>
    <w:rsid w:val="00C9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2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27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27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2749"/>
    <w:pPr>
      <w:spacing w:before="160"/>
      <w:jc w:val="center"/>
    </w:pPr>
    <w:rPr>
      <w:i/>
      <w:iCs/>
      <w:color w:val="404040" w:themeColor="text1" w:themeTint="BF"/>
    </w:rPr>
  </w:style>
  <w:style w:type="character" w:customStyle="1" w:styleId="CitaoChar">
    <w:name w:val="Citação Char"/>
    <w:basedOn w:val="Fontepargpadro"/>
    <w:link w:val="Citao"/>
    <w:uiPriority w:val="29"/>
    <w:rsid w:val="00C92749"/>
    <w:rPr>
      <w:i/>
      <w:iCs/>
      <w:color w:val="404040" w:themeColor="text1" w:themeTint="BF"/>
    </w:rPr>
  </w:style>
  <w:style w:type="paragraph" w:styleId="PargrafodaLista">
    <w:name w:val="List Paragraph"/>
    <w:basedOn w:val="Normal"/>
    <w:uiPriority w:val="34"/>
    <w:qFormat/>
    <w:rsid w:val="00C92749"/>
    <w:pPr>
      <w:ind w:left="720"/>
      <w:contextualSpacing/>
    </w:pPr>
  </w:style>
  <w:style w:type="character" w:styleId="nfaseIntensa">
    <w:name w:val="Intense Emphasis"/>
    <w:basedOn w:val="Fontepargpadro"/>
    <w:uiPriority w:val="21"/>
    <w:qFormat/>
    <w:rsid w:val="00C92749"/>
    <w:rPr>
      <w:i/>
      <w:iCs/>
      <w:color w:val="0F4761" w:themeColor="accent1" w:themeShade="BF"/>
    </w:rPr>
  </w:style>
  <w:style w:type="paragraph" w:styleId="CitaoIntensa">
    <w:name w:val="Intense Quote"/>
    <w:basedOn w:val="Normal"/>
    <w:next w:val="Normal"/>
    <w:link w:val="CitaoIntensaChar"/>
    <w:uiPriority w:val="30"/>
    <w:qFormat/>
    <w:rsid w:val="00C9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2749"/>
    <w:rPr>
      <w:i/>
      <w:iCs/>
      <w:color w:val="0F4761" w:themeColor="accent1" w:themeShade="BF"/>
    </w:rPr>
  </w:style>
  <w:style w:type="character" w:styleId="RefernciaIntensa">
    <w:name w:val="Intense Reference"/>
    <w:basedOn w:val="Fontepargpadro"/>
    <w:uiPriority w:val="32"/>
    <w:qFormat/>
    <w:rsid w:val="00C92749"/>
    <w:rPr>
      <w:b/>
      <w:bCs/>
      <w:smallCaps/>
      <w:color w:val="0F4761" w:themeColor="accent1" w:themeShade="BF"/>
      <w:spacing w:val="5"/>
    </w:rPr>
  </w:style>
  <w:style w:type="table" w:styleId="TabelaSimples4">
    <w:name w:val="Plain Table 4"/>
    <w:basedOn w:val="Tabelanormal"/>
    <w:uiPriority w:val="44"/>
    <w:rsid w:val="003B53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2455</Words>
  <Characters>13408</Characters>
  <Application>Microsoft Office Word</Application>
  <DocSecurity>0</DocSecurity>
  <Lines>352</Lines>
  <Paragraphs>180</Paragraphs>
  <ScaleCrop>false</ScaleCrop>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Oliveira</dc:creator>
  <cp:keywords/>
  <dc:description/>
  <cp:lastModifiedBy>Rafael Oliveira</cp:lastModifiedBy>
  <cp:revision>5</cp:revision>
  <dcterms:created xsi:type="dcterms:W3CDTF">2026-04-13T14:52:00Z</dcterms:created>
  <dcterms:modified xsi:type="dcterms:W3CDTF">2026-04-13T17:12:00Z</dcterms:modified>
</cp:coreProperties>
</file>