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Tricks with Hicks: The EASI Demand System</w:t>
      </w:r>
    </w:p>
    <w:p>
      <w:pPr>
        <w:jc w:val="center"/>
      </w:pPr>
      <w:r>
        <w:rPr>
          <w:i/>
        </w:rPr>
        <w:t>Lewbel e Pendakur (2009) — American Economic Review, Vol. 99, No. 3, pp. 827-863</w:t>
      </w:r>
    </w:p>
    <w:p/>
    <w:p>
      <w:pPr>
        <w:pStyle w:val="Heading1"/>
      </w:pPr>
      <w:r>
        <w:t>1. Motivação e Problema de Pesquisa</w:t>
      </w:r>
    </w:p>
    <w:p>
      <w:r>
        <w:t>O artigo parte de duas limitações centrais dos sistemas de demanda paramétricos existentes, em particular do amplamente utilizado modelo Almost Ideal Demand (AID) de Deaton e Muellbauer (1980).</w:t>
        <w:br/>
        <w:br/>
        <w:t>(a) Rigidez nas Curvas de Engel: a pesquisa empírica com grandes bases de dados de despesas de consumidores documenta que as curvas de Engel (trajetórias de expansão de renda) apresentam curvatura significativa e heterogênea entre bens. Alguns bens têm curvas próximas de lineares ou quadráticas, enquanto outros exibem formas em S. O modelo AID impõe Engel curves lineares, e o Quadratic AID (QUAID) de Banks, Blundell e Lewbel (1997), que admite formas quadráticas, ainda é insuficiente. Modelos polinomiais estão sujeitos às restrições de rank de Gorman (1981): o rank de qualquer sistema de demanda com Engel curves polinomiais não pode exceder 3. Isso limita fundamentalmente a flexibilidade.</w:t>
        <w:br/>
        <w:br/>
        <w:t>(b) Heterogeneidade de Preferências Não Observada: na maioria dos modelos empíricos de demanda, os termos de erro não podem ser interpretados como parâmetros de utilidade aleatórios representando heterogeneidade não observada entre consumidores. Incorporar preferências heterogêneas de forma coerente exige erros aditivos heteroscedásticos de formas específicas (Brown e Walker 1989; Lewbel 2001), complicando enormemente estimação e inferência. Cálculos de bem-estar são contaminados por não distinguir variação em preferências não observadas de erros de medição.</w:t>
        <w:br/>
        <w:br/>
        <w:t>Apesar dessas limitações, o AID permanece dominante pela sua simplicidade: parcelas de orçamento lineares nos parâmetros dado y (gasto real), com versão aproximada estimável por regressão linear. O desafio do artigo é construir um sistema que: (i) permita curvas de Engel de qualquer forma funcional (qualquer rank); (ii) incorpore heterogeneidade de preferências não observada de forma coerente; e (iii) mantenha a linearidade nos parâmetros e a facilidade de estimação do AID.</w:t>
      </w:r>
    </w:p>
    <w:p>
      <w:pPr>
        <w:pStyle w:val="Heading1"/>
      </w:pPr>
      <w:r>
        <w:t>2. Revisão da Literatura e Contribuição do Artigo</w:t>
      </w:r>
    </w:p>
    <w:p>
      <w:r>
        <w:t>O artigo se insere numa longa tradição de sistemas de demanda derivados de funções de custo, usando o Lema de Shephard para obter demandas compensadas. Os modelos mais relevantes são:</w:t>
        <w:br/>
        <w:br/>
        <w:t>AID (Deaton e Muellbauer, 1980): Parcelas de orçamento lineares em log-preços e em y. Rank 2, Engel curves lineares.</w:t>
        <w:br/>
        <w:br/>
        <w:t>QUAID (Banks, Blundell e Lewbel, 1997): Extensão quadrática do AID. Rank 3 — máximo para sistemas polinomiais, pela restrição de Gorman.</w:t>
        <w:br/>
        <w:br/>
        <w:t>Blundell, Pashardes e Weber (1993): Estimam um modelo que é, como o EASI aproximado revela, um caso especial da demanda marshalliana implícita, sem reconhecer essa estrutura.</w:t>
        <w:br/>
        <w:br/>
        <w:t>Pendakur e Sperlich (2008): Modelo semiparamétrico relacionado, mas que exige resolução numérica da utilidade indireta para obter demandas marshallianas ordinárias.</w:t>
        <w:br/>
        <w:br/>
        <w:t>A contribuição do artigo é tripla:</w:t>
        <w:br/>
        <w:br/>
        <w:t>1. Conceitual: Inventa as demandas marshallianas implícitas — nova classe de funções de demanda que combina as virtudes das demandas Hicksianas e Marshallianas, evitando a dificuldade de obter expressões analíticas para a utilidade indireta.</w:t>
        <w:br/>
        <w:br/>
        <w:t>2. Teórica: Propõe e caracteriza formalmente o sistema EASI (Exact Affine Stone Index), provando os teoremas que definem as classes ESI e EASI e suas propriedades.</w:t>
        <w:br/>
        <w:br/>
        <w:t>3. Empírica: Estima o modelo com microdados canadenses demonstrando: (i) curvas de Engel significativamente não-quadráticas para vários bens; (ii) heterogeneidade não observada afeta substancialmente os cálculos de bem-estar; (iii) o modelo EASI aproximado captura bem a complexidade do exato.</w:t>
      </w:r>
    </w:p>
    <w:p>
      <w:pPr>
        <w:pStyle w:val="Heading1"/>
      </w:pPr>
      <w:r>
        <w:t>3. Arcabouço Teórico: Demandas Marshallianas Implícitas</w:t>
      </w:r>
    </w:p>
    <w:p>
      <w:r>
        <w:t>O ponto de partida é a teoria padrão do consumidor. Considere um consumidor com características demográficas z, parâmetros de preferências não observadas ε (vetor J-dimensional com 1'ε = 0), log do gasto nominal total x, e vetor de log-preços p. As demandas Hicksianas são:</w:t>
        <w:br/>
        <w:br/>
        <w:t xml:space="preserve">    w = ω(p, u, z, ε) = ∇ₚC(p, u, z, ε)</w:t>
        <w:br/>
        <w:br/>
        <w:t>onde C é a função de log-custo. O procedimento usual: obter a utilidade indireta V(p,x,z,ε) e substituir na demanda Hicksiana. Problema: para funções de custo suficientemente ricas, V não tem forma fechada analítica.</w:t>
        <w:br/>
        <w:br/>
        <w:t>INOVAÇÃO CENTRAL — Utilidade Implícita:</w:t>
        <w:br/>
        <w:t>Os autores constroem uma função g dos dados observáveis (w, p, x, z) tal que y = g(w, p, x, z) = u. Ou seja, a utilidade pode ser expressa como função de variáveis observadas. Esta quantidade y é chamada de utilidade implícita. A demanda marshalliana implícita é então:</w:t>
        <w:br/>
        <w:br/>
        <w:t xml:space="preserve">    w = ω(p, y, z, ε)</w:t>
        <w:br/>
        <w:br/>
        <w:t>que é a demanda Hicksiana com u substituído por y = g(w, p, x, z). Intuição econômica: y é uma cardinalização de u computável diretamente dos dados, sem precisar inverter analiticamente C.</w:t>
        <w:br/>
        <w:br/>
        <w:t>EXEMPLO ILUSTRATIVO — Exact Stone Index (ESI):</w:t>
        <w:br/>
        <w:t>Considere a função de log-custo mais simples:</w:t>
        <w:br/>
        <w:br/>
        <w:t xml:space="preserve">    C(p, u, z, ε) = u + p'm(u, z) + p'ε</w:t>
        <w:br/>
        <w:br/>
        <w:t>Pelo Lema de Shephard: w = m(u, z) + ε. Como x = u + p'[m(u,z) + ε] = u + p'w, segue que:</w:t>
        <w:br/>
        <w:br/>
        <w:t xml:space="preserve">    u = x − p'w</w:t>
        <w:br/>
        <w:br/>
        <w:t>Portanto y = x − p'w, o log do gasto nominal deflacionado pelo índice de Stone de Stone (1954). Diferentemente do AID (onde o índice de Stone é uma aproximação), aqui ele é exatamente o deflator correto. A demanda marshalliana implícita ESI é:</w:t>
        <w:br/>
        <w:br/>
        <w:t xml:space="preserve">    w = m(x − p'w, z) + ε = m(y, z) + ε</w:t>
        <w:br/>
        <w:br/>
        <w:t>Os termos de erro ε são diretamente os parâmetros de preferência não observados. y é endógeno (depende de w), mas pode ser instrumentalizado por x e p.</w:t>
        <w:br/>
        <w:br/>
        <w:t>LIMITAÇÃO DO ESI (Teoremas 1 e 2, Apêndice A):</w:t>
        <w:br/>
        <w:t>Demandas ESI não se alteram quando todos os preços são elevados ao quadrado — uma condição economicamente implausível. Com J = 2 bens, o ESI força parcelas de orçamento independentes dos preços. Isso motiva a generalização para o EASI.</w:t>
      </w:r>
    </w:p>
    <w:p>
      <w:pPr>
        <w:pStyle w:val="Heading1"/>
      </w:pPr>
      <w:r>
        <w:t>4. O Sistema EASI: Função de Custo e Forma Funcional</w:t>
      </w:r>
    </w:p>
    <w:p>
      <w:r>
        <w:t>DEFINIÇÃO EASI:</w:t>
        <w:br/>
        <w:t>Um sistema EASI (Exact Affine Stone Index) é aquele onde a utilidade é ordinalmente equivalente a uma transformação afim de x − p'w:</w:t>
        <w:br/>
        <w:br/>
        <w:t xml:space="preserve">    u = y = [x − p'w − t(p)] / [1 + s(p)]</w:t>
        <w:br/>
        <w:br/>
        <w:t>onde t(p) e s(p) são funções de preços. O ESI é o caso especial com t = 0 e s = 0.</w:t>
        <w:br/>
        <w:br/>
        <w:t>FUNÇÃO DE CUSTO PARAMETRIZADA PARA ESTIMAÇÃO (equação 5):</w:t>
        <w:br/>
        <w:br/>
        <w:t xml:space="preserve">    C(p,u,z,ε) = u + p'[Σᵣ bᵣuʳ + Cz + Dzu] + (½)Σₗ zₗp'Aₗp + (½)p'Bpu + p'ε</w:t>
        <w:br/>
        <w:br/>
        <w:t>onde:</w:t>
        <w:br/>
        <w:t>• bᵣ (r = 0,...,5): vetores J-dimensionais — geram as curvas de Engel via polinômio de 5ª ordem em u;</w:t>
        <w:br/>
        <w:t>• C e D: matrizes L×J — demograficas entram no intercepto (C) e na inclinação das curvas de Engel (D);</w:t>
        <w:br/>
        <w:t>• Aₗ (l = 0,...,L) e B: matrizes J×J simétricas — governam efeitos de preços (Aₗ) e interação preço×gasto (B);</w:t>
        <w:br/>
        <w:t>• p'ε: heterogeneidade de preferências não observada.</w:t>
        <w:br/>
        <w:br/>
        <w:t>DEMANDAS HICKSIANAS — Lema de Shephard (equação 7):</w:t>
        <w:br/>
        <w:br/>
        <w:t xml:space="preserve">    w = Σᵣ bᵣuʳ + Cz + Dzu + Σₗ zₗAₗp + Bpu + ε</w:t>
        <w:br/>
        <w:br/>
        <w:t>UTILIDADE IMPLÍCITA y (equação 8 — resolvendo C(p,u,z,ε) = x para u):</w:t>
        <w:br/>
        <w:br/>
        <w:t xml:space="preserve">    y = [x − p'w + Σₗ zₗp'Aₗp/2] / [1 − p'Bp/2]</w:t>
        <w:br/>
        <w:br/>
        <w:t>Esta quantidade: (i) é cardinalização de u; (ii) é afim em x; (iii) iguala x no período base (p = 0); (iv) está altamente correlacionada com x − p'w (correlação &gt; 0.998 empiricamente).</w:t>
        <w:br/>
        <w:br/>
        <w:t>DEMANDAS MARSHALLIANAS IMPLÍCITAS EASI (equação 9):</w:t>
        <w:br/>
        <w:t>Substituindo y na demanda Hicksiana:</w:t>
        <w:br/>
        <w:br/>
        <w:t xml:space="preserve">    w = Σᵣ bᵣyʳ + Cz + Dzy + Σₗ zₗAₗp + Bpy + ε</w:t>
        <w:br/>
        <w:br/>
        <w:t>Dado y, as parcelas de orçamento são completamente lineares nos parâmetros — facilita estimação.</w:t>
        <w:br/>
        <w:br/>
        <w:t>PROPRIEDADES NOTÁVEIS DO EASI:</w:t>
        <w:br/>
        <w:br/>
        <w:t>1. Curvas de Engel de qualquer ordem: polinômio de 5ª ordem em y permite formas em S, não-monotônicas, assimétricas — qualquer formato que os dados exijam.</w:t>
        <w:br/>
        <w:br/>
        <w:t>2. Sem restrição de rank: Diferentemente das demandas Marshallianas ordinárias, o rank pode ser até J−1, sem o limite de 3 de Gorman (1981).</w:t>
        <w:br/>
        <w:br/>
        <w:t>3. Heterogeneidade não observada coerente: ε nas equações de parcelas é exatamente os parâmetros de preferência não observados — o modelo é coerente e invertível.</w:t>
        <w:br/>
        <w:br/>
        <w:t>4. Efeitos de preços flexíveis: Aₗ permite interação preço×demograficas; B permite interação preço×renda real. A semi-elasticidade compensada de preços é: Σₗ zₗAₗ + By (afim em z e y).</w:t>
        <w:br/>
        <w:br/>
        <w:t>5. Índice de custo de vida em forma fechada:</w:t>
        <w:br/>
        <w:br/>
        <w:t xml:space="preserve">    C(p₁,u,z,ε) − C(p₀,u,z,ε) = (p₁−p₀)'w₀ + ½(p₁−p₀)'(Σₗ zₗAₗ + By)(p₁−p₀)</w:t>
        <w:br/>
        <w:br/>
        <w:t>O primeiro termo é o índice de Stone; o segundo captura efeitos de substituição de segunda ordem.</w:t>
      </w:r>
    </w:p>
    <w:p>
      <w:pPr>
        <w:pStyle w:val="Heading1"/>
      </w:pPr>
      <w:r>
        <w:t>5. Modelo Aproximado e Estimação Linear</w:t>
      </w:r>
    </w:p>
    <w:p>
      <w:r>
        <w:t>A endogeneidade de y (equação 8) vem de w aparecendo no lado direito. Analogamente ao AID aproximado, substitui-se y pela versão aproximada:</w:t>
        <w:br/>
        <w:br/>
        <w:t xml:space="preserve">    ỹ = x − p'w̄</w:t>
        <w:br/>
        <w:br/>
        <w:t>onde w̄ é o vetor de médias amostrais. O modelo aproximado EASI é:</w:t>
        <w:br/>
        <w:br/>
        <w:t xml:space="preserve">    w = Σᵣ bᵣỹʳ + Cz + Dzỹ + Σₗ zₗAₗp + Bpỹ + ε̃</w:t>
        <w:br/>
        <w:br/>
        <w:t>Completamente linear nos parâmetros, estimável por MQO ou SUR.</w:t>
        <w:br/>
        <w:br/>
        <w:t>CONEXÃO COM MODELOS EXISTENTES:</w:t>
        <w:br/>
        <w:t>• AID: caso especial com ỹ = x − p'w e apenas o termo linear em ỹ;</w:t>
        <w:br/>
        <w:t>• QUAID: caso especial com o termo quadrático em ỹ;</w:t>
        <w:br/>
        <w:t>• Blundell, Pashardes e Weber (1993): também é caso especial do EASI aproximado.</w:t>
        <w:br/>
        <w:br/>
        <w:t>VALIDAÇÃO DA APROXIMAÇÃO (Tabela 3):</w:t>
        <w:br/>
        <w:t>y e ỹ têm correlação &gt; 0.998. O desvio padrão de p'ε (o componente endógeno de y) é 1/20 do desvio de y. A endogeneidade é numericamente pequena. As estimativas do modelo aproximado são próximas das estimativas exatas em termos de parâmetros. Porém, a interpretação dos erros como heterogeneidade de preferências (versus erros de medição) afeta substancialmente os cálculos de bem-estar.</w:t>
      </w:r>
    </w:p>
    <w:p>
      <w:pPr>
        <w:pStyle w:val="Heading1"/>
      </w:pPr>
      <w:r>
        <w:t>6. Metodologia Econométrica e Estratégia de Identificação</w:t>
      </w:r>
    </w:p>
    <w:p>
      <w:r>
        <w:t>ESTIMAÇÃO DO MODELO EXATO:</w:t>
        <w:br/>
        <w:t>O modelo exato (equação 15) é não-linear nos parâmetros: Aₗ e B aparecem tanto nos regressores quanto na construção de y. Além disso, w no índice de Stone p'w é endógeno.</w:t>
        <w:br/>
        <w:br/>
        <w:t>ESTIMADOR PRINCIPAL — 3SLS não-linear com variáveis instrumentais:</w:t>
        <w:br/>
        <w:t>Conjunto de instrumentos q (não correlacionados com ε, assumindo E(ε|p,x,z) = 0):</w:t>
        <w:br/>
        <w:br/>
        <w:t xml:space="preserve">    q = {p, z, zỹ, pỹ, pz₁,...,pzₗ, ỹʳ para r = 0,...,5}</w:t>
        <w:br/>
        <w:br/>
        <w:t>onde ỹ usa estimativas do modelo aproximado e w̄.</w:t>
        <w:br/>
        <w:br/>
        <w:t>CONDIÇÕES DE MOMENTO:</w:t>
        <w:br/>
        <w:br/>
        <w:t xml:space="preserve">    E[ε'qₘ] = 0 para m = 1,...,M</w:t>
        <w:br/>
        <w:br/>
        <w:t>Com simetria imposta em Aₗ e B: modelo sobreidentificado com 196 restrições. Teste J de sobreidentificação tem p-valor = 2.1% (marginalmente aprovado).</w:t>
        <w:br/>
        <w:br/>
        <w:t>RESTRIÇÕES DE RACIONALIDADE (todas lineares — impostas diretamente no 3SLS/GMM):</w:t>
        <w:br/>
        <w:t>• Adding-up: 1'b₀ = 1, 1'bᵣ = 0 para r ≠ 0, 1'C = 1'D = 0;</w:t>
        <w:br/>
        <w:t>• Homogeneidade: 1'Aₗ = 1'B = 0';</w:t>
        <w:br/>
        <w:t>• Simetria de Slutsky: Aₗ e B simétricas para todo l.</w:t>
        <w:br/>
        <w:br/>
        <w:t>ESTIMADOR ITERATIVO LINEAR (alternativa elegante, proposta por referee):</w:t>
        <w:br/>
        <w:t>(1) Estimar o modelo aproximado para valores iniciais θ̂₀;</w:t>
        <w:br/>
        <w:t>(2) Calcular ŷᵢ = g(wᵢ, pᵢ, xᵢ, zᵢ, θ̂) para cada observação i;</w:t>
        <w:br/>
        <w:t>(3) Estimar o modelo linear (equação 9) com 3SLS linear usando ŷᵢ como dado;</w:t>
        <w:br/>
        <w:t>(4) Atualizar θ̂ e repetir até convergência.</w:t>
        <w:br/>
        <w:br/>
        <w:t>Este estimador de ponto fixo é um caso especial da classe de Dominitz e Sherman (2005). Na prática, a convergência ocorre em apenas 3 iterações, devido à quasi-linearidade do EASI. As estimativas são numericamente próximas às do 3SLS não-linear completo.</w:t>
        <w:br/>
        <w:br/>
        <w:t>QUESTÕES DE MEDIÇÃO:</w:t>
        <w:br/>
        <w:t>Os dados canadenses medem consumo ao longo de um ano inteiro, reduzindo erros de infrequência. Potenciais fontes de viés: erros de memória no reporte; endogeneidade de x se ε correlacionar com gastos observados. Para esses casos, os autores discutem o uso de renda ou riqueza como instrumentos adicionais para x, embora com potencial perda de eficiência.</w:t>
      </w:r>
    </w:p>
    <w:p>
      <w:pPr>
        <w:pStyle w:val="Heading1"/>
      </w:pPr>
      <w:r>
        <w:t>7. Dados e Estatísticas Descritivas</w:t>
      </w:r>
    </w:p>
    <w:p>
      <w:r>
        <w:t>FONTE DOS DADOS:</w:t>
        <w:br/>
        <w:t>• Family Expenditure Surveys: anos 1969, 1974, 1978, 1982, 1984, 1986, 1990, 1992, 1996;</w:t>
        <w:br/>
        <w:t>• Survey of Household Spending: anos 1997, 1998, 1999;</w:t>
        <w:br/>
        <w:t>• Preços de aluguel: atualizações de Browning e Thomas (1999) e Pendakur (2002).</w:t>
        <w:br/>
        <w:br/>
        <w:t>COBERTURA E NORMALIZAÇÃO:</w:t>
        <w:br/>
        <w:t>12 anos em 4 regiões canadenses (Atlantic, Ontario, Prairies, British Columbia) — 48 vetores de preços distintos. Preços normalizados com vetor-base em Ontario em 1986 (p̄ = 0ⱼ).</w:t>
        <w:br/>
        <w:br/>
        <w:t>AMOSTRA DE ESTIMAÇÃO:</w:t>
        <w:br/>
        <w:t>4.847 observações de domicílios unipessoais com posse de aluguel, gastos positivos em aluguel, recreação e transporte; pessoas entre 25 e 64 anos em cidades com ≥ 30.000 residentes; apenas Canadá anglófono.</w:t>
        <w:br/>
        <w:br/>
        <w:t>Justificativas das restrições:</w:t>
        <w:br/>
        <w:t>• Domicílios unipessoais: evitar complicações de barganha coletiva;</w:t>
        <w:br/>
        <w:t>• Residentes urbanos: minimizar efeitos de produção domiciliar/rural;</w:t>
        <w:br/>
        <w:t>• Quebec excluído: possível heterogeneidade cultural nas preferências.</w:t>
        <w:br/>
        <w:br/>
        <w:t>CATEGORIAS DE DESPESA (J = 9):</w:t>
        <w:br/>
        <w:t>Alimentação em casa, alimentação fora, aluguel, operação doméstica, mobília/equipamentos, vestuário, operação de transporte, recreação e cuidados pessoais. Cuidados pessoais é a equação excluída — estima-se 8 equações. Estas categorias representam ~85% do consumo corrente.</w:t>
        <w:br/>
        <w:br/>
        <w:t>CARACTERÍSTICAS DEMOGRÁFICAS (L = 5):</w:t>
        <w:br/>
        <w:t>(1) Idade menos 40; (2) Dummy masculino; (3) Dummy não-proprietário de carro (gastos com gasolina &lt; $50 a preços de 1986); (4) Dummy assistência social (transferências &gt; 10% da renda bruta); (5) Tendência temporal (ano − 1986).</w:t>
        <w:br/>
        <w:br/>
        <w:t>ESTATÍSTICAS DESCRITIVAS SELECIONADAS (Tabela 1):</w:t>
        <w:br/>
        <w:t>• Aluguel: maior parcela de orçamento (média 0.37, desvio 0.12, max 0.89, min 0.01);</w:t>
        <w:br/>
        <w:t>• Alimentação em casa: média 0.14, desvio 0.08;</w:t>
        <w:br/>
        <w:t>• Alimentação fora: média 0.08, desvio 0.07;</w:t>
        <w:br/>
        <w:t>• Transporte: média 0.11, desvio 0.08;</w:t>
        <w:br/>
        <w:t>• Recreação: média 0.08, desvio 0.07;</w:t>
        <w:br/>
        <w:t>• Log-gasto nominal (média-normalizado): média −0.11, desvio 0.59;</w:t>
        <w:br/>
        <w:t>• x − p'w (deflacionado Stone): média −0.07, desvio 0.44.</w:t>
        <w:br/>
        <w:br/>
        <w:t>OBSERVAÇÃO METODOLÓGICA:</w:t>
        <w:br/>
        <w:t>y é subtraída de sua mediana antes da estimação. Traduzir y por uma constante é absorvido pelos coeficientes A₀, bᵣ e C, sem afetar o ajuste, mas dando aos coeficientes bᵣ magnitudes comparáveis (melhora o condicionamento numérico da matriz de dados).</w:t>
      </w:r>
    </w:p>
    <w:p>
      <w:pPr>
        <w:pStyle w:val="Heading1"/>
      </w:pPr>
      <w:r>
        <w:t>8. Resultados: Curvas de Engel Estimadas</w:t>
      </w:r>
    </w:p>
    <w:p>
      <w:r>
        <w:t>A análise das curvas de Engel é o resultado empírico central. Os autores comparam quatro especificações (Figuras 1-8): (i) modelo exato simétrico (3SLS); (ii) modelo exato quadrático; (iii) modelo aproximado (SUR); (iv) modelo assimétrico exato.</w:t>
        <w:br/>
        <w:br/>
        <w:t>TESTES GERAIS DO MODELO (Tabela 2):</w:t>
        <w:br/>
        <w:t>• Simetria de Slutsky (Aₗ = Aₗ' e B = B'): não rejeitada (p = 1.4%, marginalmente);</w:t>
        <w:br/>
        <w:t>• Efeitos diretos de preços (A₀): fortemente significativos (p ≈ 0);</w:t>
        <w:br/>
        <w:t>• Polinômio de 5ª ordem em y: necessário — não se pode excluir y⁵ (p &lt; 0.001);</w:t>
        <w:br/>
        <w:t>• Teste de exclusão de y⁻¹ e y⁶ conjuntamente: não significativo (p = 2.9%).</w:t>
        <w:br/>
        <w:br/>
        <w:t>TESTES DE NÃO-QUADRATICIDADE POR BEM (Tabela 2):</w:t>
        <w:br/>
        <w:t>• Alimentação em casa: Rejeitada (p = 0.001);</w:t>
        <w:br/>
        <w:t>• Alimentação fora: Rejeitada (p = 0.016);</w:t>
        <w:br/>
        <w:t>• Aluguel: Fortemente rejeitada (p &lt; 0.001);</w:t>
        <w:br/>
        <w:t>• Operação doméstica: Rejeitada (p &lt; 0.001);</w:t>
        <w:br/>
        <w:t>• Mobília/equipamentos: Não rejeitada (p = 0.340);</w:t>
        <w:br/>
        <w:t>• Vestuário: Marginalmente rejeitada (p = 0.025);</w:t>
        <w:br/>
        <w:t>• Transporte: Não rejeitada (p = 0.079);</w:t>
        <w:br/>
        <w:t>• Recreação: Fortemente rejeitada (p &lt; 0.001).</w:t>
        <w:br/>
        <w:br/>
        <w:t>Pelo menos 4 das 8 equações têm Engel curves significativamente não-quadráticas, implicando rank &gt; 3 — refutando a restrição de Gorman para sistemas polinomiais.</w:t>
        <w:br/>
        <w:br/>
        <w:t>CURVAS DE ENGEL POR BEM (detalhe):</w:t>
        <w:br/>
        <w:br/>
        <w:t>Aluguel (Figura 3 — resultado mais marcante):</w:t>
        <w:br/>
        <w:t>A curva exata mostra curvatura próxima de zero no decil inferior, fortemente negativa nos dois decis seguintes, e novamente próxima de zero antes de se tornar positiva no decil superior. Esta forma em múltiplos segmentos não pode ser capturada por um modelo quadrático:</w:t>
        <w:br/>
        <w:t>— 5ª percentil: quadrático superestima a parcela do aluguel em ~5 pontos percentuais;</w:t>
        <w:br/>
        <w:t>— 20ª percentil: quadrático subestima em ~2 pontos percentuais.</w:t>
        <w:br/>
        <w:t>O modelo aproximado replica bem o modelo exato para aluguel.</w:t>
        <w:br/>
        <w:br/>
        <w:t>Alimentação em casa e fora (Figuras 1-2):</w:t>
        <w:br/>
        <w:t>Curvas próximas de lineares. Exato, aproximado e quadrático coincidem dentro dos intervalos de confiança. A não-quadraticidade estatística tem tamanho empírico pequeno.</w:t>
        <w:br/>
        <w:br/>
        <w:t>Operação Doméstica (Figura 4):</w:t>
        <w:br/>
        <w:t>A curva exata assemelha-se a dois segmentos quase-lineares conectados por um segmento curvado — padrão impossível de capturar com um polinômio quadrático.</w:t>
        <w:br/>
        <w:br/>
        <w:t>Recreação (Figura 8):</w:t>
        <w:br/>
        <w:t>No decil inferior, a curva exata se achata, enquanto o quadrático tem inclinação fortemente negativa — diferença economicamente relevante em análises de programas para baixa renda.</w:t>
        <w:br/>
        <w:br/>
        <w:t>ROBUSTEZ (Figuras 9-10, três amostras ampliadas):</w:t>
        <w:br/>
        <w:t>— Amostra estendida (18.600 domicílios, incluindo multi-membros e Quebec): não-quadraticidade no aluguel permanece evidente;</w:t>
        <w:br/>
        <w:t>— Amostra 'nopoor' (8.846 obs.): revela departura quadrática no extremo superior;</w:t>
        <w:br/>
        <w:t>— Amostra 'norent nopoor' (32.399 obs.): a não-quadraticidade em recreação some na base, sugerindo que parte do padrão era artefato da estimação conjunta com aluguel.</w:t>
        <w:br/>
        <w:br/>
        <w:t>IMPLICAÇÃO DE RANK:</w:t>
        <w:br/>
        <w:t>A evidência de Engel curves não-quadráticas implica rank de demanda acima de 3. A razão pela qual estudos anteriores não detectavam: departures concentradas nas caudas (menos observações) ou sutis (como em operação doméstica). Apenas modelos com muitos parâmetros e grandes amostras conseguem identificar essas departures.</w:t>
      </w:r>
    </w:p>
    <w:p>
      <w:pPr>
        <w:pStyle w:val="Heading1"/>
      </w:pPr>
      <w:r>
        <w:t>9. Resultados: Efeitos de Preços e Elasticidades</w:t>
      </w:r>
    </w:p>
    <w:p>
      <w:r>
        <w:t>ESTRUTURA DOS EFEITOS DE PREÇOS:</w:t>
        <w:br/>
        <w:t>Os preços variam apenas por região e ano — 48 vetores de preços distintos. A variação ao longo de 28 anos e a heterogeneidade regional canadense garantem identificação razoável.</w:t>
        <w:br/>
        <w:br/>
        <w:t>Semi-elasticidades compensadas (equação 12):</w:t>
        <w:br/>
        <w:br/>
        <w:t xml:space="preserve">    ∇ₚω(p, y, z, ε) = Σₗ zₗAₗ + By</w:t>
        <w:br/>
        <w:br/>
        <w:t>Afins em z e y: as elasticidades compensadas variam sistematicamente com o nível de renda real e com as características demográficas.</w:t>
        <w:br/>
        <w:br/>
        <w:t>Semi-elasticidades em relação ao gasto real y (equação 13):</w:t>
        <w:br/>
        <w:br/>
        <w:t xml:space="preserve">    ∇ᵧω(p, y, z, ε) = Σᵣ bᵣry^(r-1) + Dz + Bp</w:t>
        <w:br/>
        <w:br/>
        <w:t>Podem variar consideravelmente com y, refletindo alta flexibilidade das curvas de Engel.</w:t>
        <w:br/>
        <w:br/>
        <w:t>PRINCIPAIS RESULTADOS DA TABELA 4 (persona de referência: mulher, 40 anos, proprietária de carro, Ontario, 1986, gasto mediano, ε = 0):</w:t>
        <w:br/>
        <w:br/>
        <w:t>Semi-elasticidades compensadas de preços:</w:t>
        <w:br/>
        <w:t>• Aluguel (própria): 0.063 — aumento de 10% no preço do aluguel eleva a parcela em ~0.63 p.p. ao compensar a perda de utilidade. Elasticidade de gasto compensada: 0.528.</w:t>
        <w:br/>
        <w:t>• Recreação (própria): −0.182; elasticidade de gasto compensada: −1.191 (altamente elástica).</w:t>
        <w:br/>
        <w:t>• Transporte (própria): −0.105; elasticidade compensada: 0.393.</w:t>
        <w:br/>
        <w:t>• Efeito cruzado vestuário-aluguel: −0.066 — aumento no preço do aluguel reduz significativamente a parcela de vestuário, mantida a utilidade constante.</w:t>
        <w:br/>
        <w:br/>
        <w:t>Termos de Slutsky (diagonal da Tabela 4):</w:t>
        <w:br/>
        <w:t>Todos negativos e a maioria significativa. A matriz de Slutsky S avaliada no gasto mediano é negativa semi-definida — função de custo fracamente côncava, confirmando racionalidade.</w:t>
        <w:br/>
        <w:br/>
        <w:t>INTERAÇÃO PREÇO × RENDA REAL (Matriz B):</w:t>
        <w:br/>
        <w:t>O coeficiente B_{aluguel,aluguel} = 0.088 é marginalmente significativo. Implicação:</w:t>
        <w:br/>
        <w:t>— Domicílios pobres (x = −0.90): semi-elasticidade própria do aluguel ≈ −0.016 (próxima de zero);</w:t>
        <w:br/>
        <w:t>— Domicílios ricos (x = +0.60): semi-elasticidade ≈ 0.115 (positiva e significativa).</w:t>
        <w:br/>
        <w:t>— Termos de Slutsky: −0.236 para o 5º percentil vs −0.080 para o 95º percentil.</w:t>
        <w:br/>
        <w:br/>
        <w:t>Conclusão distributiva: os pobres substituem muito mais do que os ricos diante de aumentos no preço do aluguel — resultado com importantes implicações para políticas habitacionais e de preços em geral.</w:t>
      </w:r>
    </w:p>
    <w:p>
      <w:pPr>
        <w:pStyle w:val="Heading1"/>
      </w:pPr>
      <w:r>
        <w:t>10. Excedente do Consumidor e Bem-Estar</w:t>
      </w:r>
    </w:p>
    <w:p>
      <w:r>
        <w:t>EXPERIMENTO DE POLÍTICA:</w:t>
        <w:br/>
        <w:t>No Canadá, o aluguel não é sujeito a imposto sobre vendas (típico de 15% para bens como alimentação fora e vestuário). Os autores avaliam o impacto de introduzir um imposto de 15% sobre aluguel: p₀ = 0ⱼ, p₁ = [0 0 ln(1.15) 0 0 0 0 0 0].</w:t>
        <w:br/>
        <w:br/>
        <w:t>ÍNDICE DE CUSTO DE VIDA (ICOV):</w:t>
        <w:br/>
        <w:t>Para a função de custo empírica (equação 5), o ICOV simplifica para:</w:t>
        <w:br/>
        <w:br/>
        <w:t xml:space="preserve">    ICOV = ln(1.15)·wᵃˡᵘᵍ + [ln(1.15)]²·(Σₗ zₗaₗᵃˡ'ᵃˡ + bᵃˡ'ᵃˡ·x) / 2</w:t>
        <w:br/>
        <w:br/>
        <w:t>onde aₗᵃˡ'ᵃˡ e bᵃˡ'ᵃˡ são os elementos próprios do aluguel em Aₗ e B. Dois componentes:</w:t>
        <w:br/>
        <w:br/>
        <w:t>Efeito de 1ª ordem: ln(1.15)·wᵃˡᵘᵍ — ponderado pela parcela de orçamento do aluguel. Incorpora heterogeneidade não observada através de wᵃˡᵘᵍ = wᵃˡᵘᵍ(ε). Uma abordagem tradicional que ignora ε usaria ŵᵃˡᵘᵍ (resíduo de medição), gerando impressão equivocada de que a variação individual no ICOV é principalmente função do nível de gasto.</w:t>
        <w:br/>
        <w:br/>
        <w:t>Efeito de 2ª ordem: captura substituição em resposta ao aumento de preços. Como os pobres substituem mais, este efeito é positivamente correlacionado com x: ignorá-lo subestima o impacto para ricos e superestima para pobres.</w:t>
        <w:br/>
        <w:br/>
        <w:t>RESULTADOS QUANTITATIVOS (Figura 11):</w:t>
        <w:br/>
        <w:t>• ICOV médio: ~5-6% do gasto total;</w:t>
        <w:br/>
        <w:t>• Com ε = 0: o ICOV reflete apenas a curva de Engel — variação sistemática com x;</w:t>
        <w:br/>
        <w:t>• Com heterogeneidade não observada: maior parte da variação individual no ICOV é atribuível a características não observadas, não ao nível de gasto;</w:t>
        <w:br/>
        <w:t>• Efeito de 2ª ordem: ~−0.1 p.p. no 5º percentil (sobre total ~6 p.p.) vs +0.1 p.p. no 95º percentil (sobre total ~4 p.p.).</w:t>
        <w:br/>
        <w:br/>
        <w:t>IMPORTÂNCIA DA ENGEL FLEXÍVEL:</w:t>
        <w:br/>
        <w:t>O efeito de 1ª ordem é conduzido pela curva de Engel do aluguel. Como a curva exata difere substancialmente da quadrática nas caudas (até 5 p.p.), modelos com Engel curves restritas cometem erros sistemáticos nas análises distributivas.</w:t>
        <w:br/>
        <w:br/>
        <w:t>SENSIBILIDADE À INTERPRETAÇÃO DOS ERROS:</w:t>
        <w:br/>
        <w:t>Tratando ε como erro de medição (procedimento iterativo): parâmetros quase idênticos (distância máxima &lt; 0.1 desvio padrão). Porém, o ICOV individual calculado via 'erro de medição' é visualmente idêntico ao ICOV com ε = 0 (distância máxima: 0.01 p.p., negligível comparado aos ~5 p.p. de impacto total). A interpretação dos erros como heterogeneidade de preferências é, portanto, o elemento que captura a enorme variação individual observada no ICOV.</w:t>
      </w:r>
    </w:p>
    <w:p>
      <w:pPr>
        <w:pStyle w:val="Heading1"/>
      </w:pPr>
      <w:r>
        <w:t>11. Conclusões, Limitações e Legado</w:t>
      </w:r>
    </w:p>
    <w:p>
      <w:r>
        <w:t>CONTRIBUIÇÕES CENTRAIS DO ARTIGO:</w:t>
        <w:br/>
        <w:br/>
        <w:t>1. Conceitual — Demandas Marshallianas Implícitas: nova classe de modelos que combina as virtudes das demandas Hicksianas (formas funcionais ricas, heterogeneidade coerente) e Marshallianas (estimáveis com dados observados de gastos). A chave é construir y = g(w,p,x,z) como uma cardinalização computável de u diretamente dos dados, sem inverter C analiticamente.</w:t>
        <w:br/>
        <w:br/>
        <w:t>2. O sistema EASI resolve simultaneamente os dois problemas que motivam o artigo: (i) flexibilidade irrestrita de curvas de Engel — qualquer rank, qualquer forma funcional; (ii) heterogeneidade de preferências não observada coerente — termos de erro = parâmetros de utilidade aleatórios.</w:t>
        <w:br/>
        <w:br/>
        <w:t>3. Empiricamente: curvas de Engel para aluguel, operação doméstica e recreação são significativamente não-quadráticas (rank &gt; 3). A heterogeneidade não observada domina a variação individual no ICOV, alterando substantivamente as conclusões distributivas.</w:t>
        <w:br/>
        <w:br/>
        <w:t>LIMITAÇÕES:</w:t>
        <w:br/>
        <w:br/>
        <w:t>• Apenas domicílios unipessoais: extensão para multi-membros requer escalas de equivalência ou arcabouço de demanda coletiva;</w:t>
        <w:br/>
        <w:t>• Apenas 48 vetores de preços distintos: variação de preços relativamente limitada para identificação de todos os elementos das matrizes Aₗ e B;</w:t>
        <w:br/>
        <w:t>• Regularidade global (concavidade e monotonicidade) não impostas na estimação — apenas verificadas ex-post na vizinhança dos dados;</w:t>
        <w:br/>
        <w:t>• O teste J de sobreidentificação com instrumentos adicionais (y⁻¹ e y⁶) fica marginalmente significativo (p = 0.003), sugerindo possível misspecification.</w:t>
        <w:br/>
        <w:br/>
        <w:t>EXTENSÕES E LEGADO:</w:t>
        <w:br/>
        <w:br/>
        <w:t>• O arcabouço das demandas marshallianas implícitas é geral: g(w, p, x, z) pode tomar outras formas além do índice de Stone afim, potencialmente gerando novos sistemas de demanda;</w:t>
        <w:br/>
        <w:t>• Splines e funções logísticas podem substituir polinômios, mantendo linearidade nos parâmetros;</w:t>
        <w:br/>
        <w:t>• Influenciou uma geração de sistemas de demanda mais flexíveis para análise de incidência tributária, índices de custo de vida com substituição, e estudos de bem-estar com dados em nível domiciliar;</w:t>
        <w:br/>
        <w:t>• M-demands de Browning (2001) são um caso especial da estrutura implícita;</w:t>
        <w:br/>
        <w:t>• A ideia de erros = parâmetros de utilidade aleatórios tem implicações mais amplas para modelos de escolha discreta e sistemas de demanda com dados em painel;</w:t>
        <w:br/>
        <w:t>• O estimador iterativo linear proposto é de fácil implementação em Stata/R, democratizando o uso de sistemas de demanda não-lineares em aplicações empíricas.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