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3CE6" w14:textId="68EA7ED1" w:rsidR="00C92749" w:rsidRPr="00652375" w:rsidRDefault="00C92749" w:rsidP="00C92749">
      <w:pPr>
        <w:jc w:val="both"/>
        <w:rPr>
          <w:b/>
          <w:bCs/>
          <w:lang w:val="en-US"/>
        </w:rPr>
      </w:pPr>
      <w:proofErr w:type="spellStart"/>
      <w:r w:rsidRPr="00652375">
        <w:rPr>
          <w:b/>
          <w:bCs/>
          <w:lang w:val="en-US"/>
        </w:rPr>
        <w:t>Resumo</w:t>
      </w:r>
      <w:proofErr w:type="spellEnd"/>
      <w:r w:rsidRPr="00652375">
        <w:rPr>
          <w:b/>
          <w:bCs/>
          <w:lang w:val="en-US"/>
        </w:rPr>
        <w:t xml:space="preserve"> </w:t>
      </w:r>
      <w:proofErr w:type="spellStart"/>
      <w:r w:rsidRPr="00652375">
        <w:rPr>
          <w:b/>
          <w:bCs/>
          <w:lang w:val="en-US"/>
        </w:rPr>
        <w:t>Detalhado</w:t>
      </w:r>
      <w:proofErr w:type="spellEnd"/>
      <w:r w:rsidRPr="00652375">
        <w:rPr>
          <w:b/>
          <w:bCs/>
          <w:lang w:val="en-US"/>
        </w:rPr>
        <w:t>: Berry (199</w:t>
      </w:r>
      <w:r w:rsidR="00652375" w:rsidRPr="00652375">
        <w:rPr>
          <w:b/>
          <w:bCs/>
          <w:lang w:val="en-US"/>
        </w:rPr>
        <w:t>4</w:t>
      </w:r>
      <w:r w:rsidRPr="00652375">
        <w:rPr>
          <w:b/>
          <w:bCs/>
          <w:lang w:val="en-US"/>
        </w:rPr>
        <w:t>)</w:t>
      </w:r>
    </w:p>
    <w:p w14:paraId="2080E663" w14:textId="77777777" w:rsidR="00652375" w:rsidRPr="00652375" w:rsidRDefault="00652375" w:rsidP="00652375">
      <w:pPr>
        <w:jc w:val="both"/>
        <w:rPr>
          <w:b/>
          <w:bCs/>
          <w:lang w:val="en-US"/>
        </w:rPr>
      </w:pPr>
      <w:r w:rsidRPr="00652375">
        <w:rPr>
          <w:b/>
          <w:bCs/>
          <w:lang w:val="en-US"/>
        </w:rPr>
        <w:t>Berry (1994) — "Estimating Discrete-Choice Models of Product Differentiation"</w:t>
      </w:r>
    </w:p>
    <w:p w14:paraId="0C131B57" w14:textId="77777777" w:rsidR="00652375" w:rsidRPr="00652375" w:rsidRDefault="00652375" w:rsidP="00652375">
      <w:pPr>
        <w:jc w:val="both"/>
      </w:pPr>
      <w:proofErr w:type="spellStart"/>
      <w:r w:rsidRPr="00652375">
        <w:rPr>
          <w:b/>
          <w:bCs/>
          <w:lang w:val="en-US"/>
        </w:rPr>
        <w:t>Referência</w:t>
      </w:r>
      <w:proofErr w:type="spellEnd"/>
      <w:r w:rsidRPr="00652375">
        <w:rPr>
          <w:b/>
          <w:bCs/>
          <w:lang w:val="en-US"/>
        </w:rPr>
        <w:t>:</w:t>
      </w:r>
      <w:r w:rsidRPr="00652375">
        <w:rPr>
          <w:lang w:val="en-US"/>
        </w:rPr>
        <w:t xml:space="preserve"> Berry, S. T. (1994). Estimating discrete-choice models of product differentiation. </w:t>
      </w:r>
      <w:r w:rsidRPr="00652375">
        <w:rPr>
          <w:i/>
          <w:iCs/>
        </w:rPr>
        <w:t xml:space="preserve">RAND </w:t>
      </w:r>
      <w:proofErr w:type="spellStart"/>
      <w:r w:rsidRPr="00652375">
        <w:rPr>
          <w:i/>
          <w:iCs/>
        </w:rPr>
        <w:t>Journal</w:t>
      </w:r>
      <w:proofErr w:type="spellEnd"/>
      <w:r w:rsidRPr="00652375">
        <w:rPr>
          <w:i/>
          <w:iCs/>
        </w:rPr>
        <w:t xml:space="preserve"> </w:t>
      </w:r>
      <w:proofErr w:type="spellStart"/>
      <w:r w:rsidRPr="00652375">
        <w:rPr>
          <w:i/>
          <w:iCs/>
        </w:rPr>
        <w:t>of</w:t>
      </w:r>
      <w:proofErr w:type="spellEnd"/>
      <w:r w:rsidRPr="00652375">
        <w:rPr>
          <w:i/>
          <w:iCs/>
        </w:rPr>
        <w:t xml:space="preserve"> </w:t>
      </w:r>
      <w:proofErr w:type="spellStart"/>
      <w:r w:rsidRPr="00652375">
        <w:rPr>
          <w:i/>
          <w:iCs/>
        </w:rPr>
        <w:t>Economics</w:t>
      </w:r>
      <w:proofErr w:type="spellEnd"/>
      <w:r w:rsidRPr="00652375">
        <w:t>, 25(2), 242–262.</w:t>
      </w:r>
    </w:p>
    <w:p w14:paraId="540C94FF" w14:textId="77777777" w:rsidR="00652375" w:rsidRPr="00652375" w:rsidRDefault="00652375" w:rsidP="00652375">
      <w:pPr>
        <w:jc w:val="both"/>
      </w:pPr>
      <w:r w:rsidRPr="00652375">
        <w:pict w14:anchorId="115C7D44">
          <v:rect id="_x0000_i1203" style="width:0;height:1.5pt" o:hralign="center" o:hrstd="t" o:hr="t" fillcolor="#a0a0a0" stroked="f"/>
        </w:pict>
      </w:r>
    </w:p>
    <w:p w14:paraId="01BCE3EA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1. Problema e motivação</w:t>
      </w:r>
    </w:p>
    <w:p w14:paraId="4680435A" w14:textId="77777777" w:rsidR="00652375" w:rsidRPr="00652375" w:rsidRDefault="00652375" w:rsidP="00652375">
      <w:pPr>
        <w:jc w:val="both"/>
      </w:pPr>
      <w:r w:rsidRPr="00652375">
        <w:t xml:space="preserve">O artigo trata de um problema clássico de Organização Industrial empírica: como estimar oferta e demanda em mercados com produtos diferenciados e firmas oligopolistas. A literatura anterior frequentemente ignorava um problema crucial: quando há características não observadas pelo </w:t>
      </w:r>
      <w:proofErr w:type="spellStart"/>
      <w:r w:rsidRPr="00652375">
        <w:t>econometrista</w:t>
      </w:r>
      <w:proofErr w:type="spellEnd"/>
      <w:r w:rsidRPr="00652375">
        <w:t xml:space="preserve"> (mas observadas pelas firmas e pelos consumidores), os preços tornam-se endógenos na equação de demanda. Isso acontece porque as firmas fixam preços levando em conta essas qualidades não observadas, criando uma correlação entre preço e o termo de erro da demanda.</w:t>
      </w:r>
    </w:p>
    <w:p w14:paraId="41A4A824" w14:textId="77777777" w:rsidR="00652375" w:rsidRPr="00652375" w:rsidRDefault="00652375" w:rsidP="00652375">
      <w:pPr>
        <w:jc w:val="both"/>
      </w:pPr>
      <w:r w:rsidRPr="00652375">
        <w:t xml:space="preserve">Esse problema é análogo ao clássico problema de simultaneidade em mercados de bens homogêneos (a curva de demanda que se identifica via OLS é viesada para cima), mas em modelos de escolha discreta ele é ainda mais difícil de corrigir porque </w:t>
      </w:r>
      <w:proofErr w:type="gramStart"/>
      <w:r w:rsidRPr="00652375">
        <w:t>preços e características não observadas</w:t>
      </w:r>
      <w:proofErr w:type="gramEnd"/>
      <w:r w:rsidRPr="00652375">
        <w:t xml:space="preserve"> entram na equação de demanda de forma não linear, o que impede a aplicação direta de variáveis instrumentais.</w:t>
      </w:r>
    </w:p>
    <w:p w14:paraId="64D352C1" w14:textId="77777777" w:rsidR="00652375" w:rsidRPr="00652375" w:rsidRDefault="00652375" w:rsidP="00652375">
      <w:pPr>
        <w:jc w:val="both"/>
      </w:pPr>
      <w:r w:rsidRPr="00652375">
        <w:pict w14:anchorId="243E4D55">
          <v:rect id="_x0000_i1204" style="width:0;height:1.5pt" o:hralign="center" o:hrstd="t" o:hr="t" fillcolor="#a0a0a0" stroked="f"/>
        </w:pict>
      </w:r>
    </w:p>
    <w:p w14:paraId="1A1AA29D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2. O framework de demanda</w:t>
      </w:r>
    </w:p>
    <w:p w14:paraId="0ADD151D" w14:textId="2DC536BB" w:rsidR="00652375" w:rsidRPr="00652375" w:rsidRDefault="00652375" w:rsidP="00652375">
      <w:pPr>
        <w:jc w:val="both"/>
      </w:pPr>
      <w:r w:rsidRPr="00652375">
        <w:t xml:space="preserve">A demanda é derivada de um modelo de escolha discreta geral. O consumidor </w:t>
      </w:r>
      <m:oMath>
        <m:r>
          <w:rPr>
            <w:rFonts w:ascii="Cambria Math" w:hAnsi="Cambria Math"/>
          </w:rPr>
          <m:t>i</m:t>
        </m:r>
      </m:oMath>
      <w:r w:rsidRPr="00652375">
        <w:t xml:space="preserve">obtém utilidade do produto </w:t>
      </w:r>
      <m:oMath>
        <m:r>
          <w:rPr>
            <w:rFonts w:ascii="Cambria Math" w:hAnsi="Cambria Math"/>
          </w:rPr>
          <m:t>j</m:t>
        </m:r>
      </m:oMath>
      <w:r w:rsidRPr="00652375">
        <w:t xml:space="preserve">conforme: </w:t>
      </w:r>
    </w:p>
    <w:p w14:paraId="5E7FB63A" w14:textId="78A723E9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647EADDA" w14:textId="3F0E38AE" w:rsidR="00652375" w:rsidRPr="00652375" w:rsidRDefault="00652375" w:rsidP="00652375">
      <w:pPr>
        <w:jc w:val="both"/>
      </w:pPr>
      <w:r w:rsidRPr="00652375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é o nível médio de utilidade (a parte da utilidade que é comum a todos os consumidores)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652375">
        <w:t xml:space="preserve">capta a heterogeneidade individual. O componente médio é estruturado como: </w:t>
      </w:r>
    </w:p>
    <w:p w14:paraId="6AE07BC7" w14:textId="5690F8E5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β-α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40F97D99" w14:textId="2ACE3109" w:rsidR="00652375" w:rsidRPr="00652375" w:rsidRDefault="00652375" w:rsidP="00652375">
      <w:pPr>
        <w:jc w:val="both"/>
      </w:pPr>
      <w:r w:rsidRPr="00652375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são características observáveis do produto,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é o preço,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é a característica não observada. A participação de mercado do produto </w:t>
      </w:r>
      <m:oMath>
        <m:r>
          <w:rPr>
            <w:rFonts w:ascii="Cambria Math" w:hAnsi="Cambria Math"/>
          </w:rPr>
          <m:t>j</m:t>
        </m:r>
      </m:oMath>
      <w:r w:rsidRPr="00652375">
        <w:t xml:space="preserve">agrega as decisões individuais: </w:t>
      </w:r>
    </w:p>
    <w:p w14:paraId="3E543D9C" w14:textId="75AB55DE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(δ,σ)</m:t>
          </m:r>
          <m:r>
            <w:rPr>
              <w:i/>
            </w:rPr>
            <w:br/>
          </m:r>
        </m:oMath>
      </m:oMathPara>
    </w:p>
    <w:p w14:paraId="40CC5A25" w14:textId="00CE6A6E" w:rsidR="00652375" w:rsidRPr="00652375" w:rsidRDefault="00652375" w:rsidP="00652375">
      <w:pPr>
        <w:jc w:val="both"/>
      </w:pPr>
      <w:r w:rsidRPr="00652375">
        <w:t xml:space="preserve">O sistema de equações de participação é um vetor de </w:t>
      </w:r>
      <m:oMath>
        <m:r>
          <w:rPr>
            <w:rFonts w:ascii="Cambria Math" w:hAnsi="Cambria Math"/>
          </w:rPr>
          <m:t>J</m:t>
        </m:r>
      </m:oMath>
      <w:r w:rsidRPr="00652375">
        <w:t xml:space="preserve">equações com </w:t>
      </w:r>
      <m:oMath>
        <m:r>
          <w:rPr>
            <w:rFonts w:ascii="Cambria Math" w:hAnsi="Cambria Math"/>
          </w:rPr>
          <m:t>J</m:t>
        </m:r>
      </m:oMath>
      <w:r w:rsidRPr="00652375">
        <w:t xml:space="preserve">incógnitas (os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>). Existe também um "bem externo" (</w:t>
      </w:r>
      <m:oMath>
        <m:r>
          <w:rPr>
            <w:rFonts w:ascii="Cambria Math" w:hAnsi="Cambria Math"/>
          </w:rPr>
          <m:t>j=0</m:t>
        </m:r>
      </m:oMath>
      <w:r w:rsidRPr="00652375">
        <w:t xml:space="preserve">, o bem de fora do mercado), normalizado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652375">
        <w:t xml:space="preserve">, que permite que os consumidores não comprem nenhum dos produtos diferenciados. </w:t>
      </w:r>
    </w:p>
    <w:p w14:paraId="7AAB1A6D" w14:textId="77777777" w:rsidR="00652375" w:rsidRPr="00652375" w:rsidRDefault="00652375" w:rsidP="00652375">
      <w:pPr>
        <w:jc w:val="both"/>
      </w:pPr>
      <w:r w:rsidRPr="00652375">
        <w:t>O lado da oferta modela as firmas como oligopolistas Bertrand (concorrência em preços), com equilíbrio de Nash em estratégias puras. A condição de primeira ordem de cada firma é:</w:t>
      </w:r>
    </w:p>
    <w:p w14:paraId="1121B166" w14:textId="13E4694A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br/>
          </m:r>
        </m:oMath>
      </m:oMathPara>
    </w:p>
    <w:p w14:paraId="549F5BD0" w14:textId="77777777" w:rsidR="00652375" w:rsidRPr="00652375" w:rsidRDefault="00652375" w:rsidP="00652375">
      <w:pPr>
        <w:jc w:val="both"/>
      </w:pPr>
      <w:r w:rsidRPr="00652375">
        <w:t>que é o markup de Lerner dependente da elasticidade da participação de mercado em relação ao preço.</w:t>
      </w:r>
    </w:p>
    <w:p w14:paraId="00921887" w14:textId="77777777" w:rsidR="00652375" w:rsidRPr="00652375" w:rsidRDefault="00652375" w:rsidP="00652375">
      <w:pPr>
        <w:jc w:val="both"/>
      </w:pPr>
      <w:r w:rsidRPr="00652375">
        <w:pict w14:anchorId="05296F21">
          <v:rect id="_x0000_i1205" style="width:0;height:1.5pt" o:hralign="center" o:hrstd="t" o:hr="t" fillcolor="#a0a0a0" stroked="f"/>
        </w:pict>
      </w:r>
    </w:p>
    <w:p w14:paraId="7FC39DF9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3. A contribuição central: inversão das participações de mercado</w:t>
      </w:r>
    </w:p>
    <w:p w14:paraId="0E905CBC" w14:textId="4BD2DC7F" w:rsidR="00652375" w:rsidRPr="00652375" w:rsidRDefault="00652375" w:rsidP="00652375">
      <w:pPr>
        <w:jc w:val="both"/>
      </w:pPr>
      <w:r w:rsidRPr="00652375">
        <w:t xml:space="preserve">O passo metodológico fundamental do artigo é mostrar que a função </w:t>
      </w:r>
      <m:oMath>
        <m:r>
          <w:rPr>
            <w:rFonts w:ascii="Cambria Math" w:hAnsi="Cambria Math"/>
          </w:rPr>
          <m:t>s=σ(δ,σ)</m:t>
        </m:r>
      </m:oMath>
      <w:r w:rsidRPr="00652375">
        <w:t xml:space="preserve">é invertível, ou seja, dados os vetores de participações observadas </w:t>
      </w:r>
      <m:oMath>
        <m:r>
          <w:rPr>
            <w:rFonts w:ascii="Cambria Math" w:hAnsi="Cambria Math"/>
          </w:rPr>
          <m:t>s</m:t>
        </m:r>
      </m:oMath>
      <w:r w:rsidRPr="00652375">
        <w:t xml:space="preserve">e os parâmetros de gostos </w:t>
      </w:r>
      <m:oMath>
        <m:r>
          <w:rPr>
            <w:rFonts w:ascii="Cambria Math" w:hAnsi="Cambria Math"/>
          </w:rPr>
          <m:t>σ</m:t>
        </m:r>
      </m:oMath>
      <w:r w:rsidRPr="00652375">
        <w:t xml:space="preserve">, é possível recuperar univocamente o vetor de utilidades médias implícitas: </w:t>
      </w:r>
    </w:p>
    <w:p w14:paraId="5342604D" w14:textId="12B073C9" w:rsidR="00652375" w:rsidRPr="00652375" w:rsidRDefault="00652375" w:rsidP="00652375">
      <w:pPr>
        <w:jc w:val="both"/>
      </w:pPr>
      <m:oMathPara>
        <m:oMath>
          <m:r>
            <w:rPr>
              <w:rFonts w:ascii="Cambria Math" w:hAnsi="Cambria Math"/>
            </w:rPr>
            <m:t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(s,σ)</m:t>
          </m:r>
          <m:r>
            <w:rPr>
              <w:i/>
            </w:rPr>
            <w:br/>
          </m:r>
        </m:oMath>
      </m:oMathPara>
    </w:p>
    <w:p w14:paraId="3475592B" w14:textId="77777777" w:rsidR="00652375" w:rsidRPr="00652375" w:rsidRDefault="00652375" w:rsidP="00652375">
      <w:pPr>
        <w:jc w:val="both"/>
      </w:pPr>
      <w:r w:rsidRPr="00652375">
        <w:t xml:space="preserve">Berry demonstra no Apêndice que, sob condições gerais, essa inversão existe e é única (via teorema do ponto fixo de </w:t>
      </w:r>
      <w:proofErr w:type="spellStart"/>
      <w:r w:rsidRPr="00652375">
        <w:t>Brouwer</w:t>
      </w:r>
      <w:proofErr w:type="spellEnd"/>
      <w:r w:rsidRPr="00652375">
        <w:t xml:space="preserve"> e condições de diagonal dominante). A intuição econômica é simples: se observamos as participações de mercado, podemos deduzir qual nível de utilidade média cada produto precisou ter gerado para produzir exatamente essas participações.</w:t>
      </w:r>
    </w:p>
    <w:p w14:paraId="14EA8F61" w14:textId="1612DECE" w:rsidR="00652375" w:rsidRPr="00652375" w:rsidRDefault="00652375" w:rsidP="00652375">
      <w:pPr>
        <w:jc w:val="both"/>
      </w:pPr>
      <w:r w:rsidRPr="00652375">
        <w:t xml:space="preserve">Uma vez calculado o vetor </w:t>
      </w:r>
      <m:oMath>
        <m:r>
          <w:rPr>
            <w:rFonts w:ascii="Cambria Math" w:hAnsi="Cambria Math"/>
          </w:rPr>
          <m:t>δ</m:t>
        </m:r>
      </m:oMath>
      <w:r w:rsidRPr="00652375">
        <w:t xml:space="preserve">, a equação de demanda se torna linear e tratável por variáveis instrumentais: </w:t>
      </w:r>
    </w:p>
    <w:p w14:paraId="058B3E07" w14:textId="689FC742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(s,σ)=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β-α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49D75873" w14:textId="5B342660" w:rsidR="00652375" w:rsidRPr="00652375" w:rsidRDefault="00652375" w:rsidP="00652375">
      <w:pPr>
        <w:jc w:val="both"/>
      </w:pPr>
      <w:r w:rsidRPr="00652375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é o termo de erro da demanda e pode ser correlacionado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. A estimação, então, prossegue com técnicas convencionais de variáveis instrumentais aplicadas a essa equação linearizada. </w:t>
      </w:r>
    </w:p>
    <w:p w14:paraId="65691FAC" w14:textId="77777777" w:rsidR="00652375" w:rsidRPr="00652375" w:rsidRDefault="00652375" w:rsidP="00652375">
      <w:pPr>
        <w:jc w:val="both"/>
      </w:pPr>
      <w:r w:rsidRPr="00652375">
        <w:pict w14:anchorId="2198EFC6">
          <v:rect id="_x0000_i1206" style="width:0;height:1.5pt" o:hralign="center" o:hrstd="t" o:hr="t" fillcolor="#a0a0a0" stroked="f"/>
        </w:pict>
      </w:r>
    </w:p>
    <w:p w14:paraId="0CF0F8E8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lastRenderedPageBreak/>
        <w:t>4. Casos especiais e implementação</w:t>
      </w:r>
    </w:p>
    <w:p w14:paraId="13899395" w14:textId="61CC08F6" w:rsidR="00652375" w:rsidRPr="00652375" w:rsidRDefault="00652375" w:rsidP="00652375">
      <w:pPr>
        <w:jc w:val="both"/>
      </w:pPr>
      <w:proofErr w:type="spellStart"/>
      <w:r w:rsidRPr="00652375">
        <w:rPr>
          <w:b/>
          <w:bCs/>
        </w:rPr>
        <w:t>Logit</w:t>
      </w:r>
      <w:proofErr w:type="spellEnd"/>
      <w:r w:rsidRPr="00652375">
        <w:rPr>
          <w:b/>
          <w:bCs/>
        </w:rPr>
        <w:t xml:space="preserve"> simples.</w:t>
      </w:r>
      <w:r w:rsidRPr="00652375">
        <w:t xml:space="preserve"> Quando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∼</m:t>
        </m:r>
      </m:oMath>
      <w:r w:rsidRPr="00652375">
        <w:t xml:space="preserve">valor extremo i.i.d., a participação de mercado tem a forma fechada logística. A inversão é analítica e imediata: </w:t>
      </w:r>
    </w:p>
    <w:p w14:paraId="1FEF708E" w14:textId="00ED96C2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FBDBE9E" w14:textId="77777777" w:rsidR="00652375" w:rsidRPr="00652375" w:rsidRDefault="00652375" w:rsidP="00652375">
      <w:pPr>
        <w:jc w:val="both"/>
      </w:pPr>
      <w:r w:rsidRPr="00652375">
        <w:t>A equação estimável por IV é então:</w:t>
      </w:r>
    </w:p>
    <w:p w14:paraId="6D4694BA" w14:textId="597B97B3" w:rsidR="00652375" w:rsidRPr="00652375" w:rsidRDefault="00652375" w:rsidP="00652375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β-α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47C4A1E6" w14:textId="77777777" w:rsidR="00652375" w:rsidRPr="00652375" w:rsidRDefault="00652375" w:rsidP="00652375">
      <w:pPr>
        <w:jc w:val="both"/>
      </w:pPr>
      <w:r w:rsidRPr="00652375">
        <w:t xml:space="preserve">Embora simples, o </w:t>
      </w:r>
      <w:proofErr w:type="spellStart"/>
      <w:r w:rsidRPr="00652375">
        <w:t>logit</w:t>
      </w:r>
      <w:proofErr w:type="spellEnd"/>
      <w:r w:rsidRPr="00652375">
        <w:t xml:space="preserve"> impõe o padrão IIA (</w:t>
      </w:r>
      <w:proofErr w:type="spellStart"/>
      <w:r w:rsidRPr="00652375">
        <w:t>independence</w:t>
      </w:r>
      <w:proofErr w:type="spellEnd"/>
      <w:r w:rsidRPr="00652375">
        <w:t xml:space="preserve"> </w:t>
      </w:r>
      <w:proofErr w:type="spellStart"/>
      <w:r w:rsidRPr="00652375">
        <w:t>of</w:t>
      </w:r>
      <w:proofErr w:type="spellEnd"/>
      <w:r w:rsidRPr="00652375">
        <w:t xml:space="preserve"> </w:t>
      </w:r>
      <w:proofErr w:type="spellStart"/>
      <w:r w:rsidRPr="00652375">
        <w:t>irrelevant</w:t>
      </w:r>
      <w:proofErr w:type="spellEnd"/>
      <w:r w:rsidRPr="00652375">
        <w:t xml:space="preserve"> </w:t>
      </w:r>
      <w:proofErr w:type="spellStart"/>
      <w:r w:rsidRPr="00652375">
        <w:t>alternatives</w:t>
      </w:r>
      <w:proofErr w:type="spellEnd"/>
      <w:r w:rsidRPr="00652375">
        <w:t xml:space="preserve">), que produz padrões de substituição implausíveis: os </w:t>
      </w:r>
      <w:proofErr w:type="spellStart"/>
      <w:r w:rsidRPr="00652375">
        <w:t>cross-price</w:t>
      </w:r>
      <w:proofErr w:type="spellEnd"/>
      <w:r w:rsidRPr="00652375">
        <w:t xml:space="preserve"> </w:t>
      </w:r>
      <w:proofErr w:type="spellStart"/>
      <w:r w:rsidRPr="00652375">
        <w:t>elasticities</w:t>
      </w:r>
      <w:proofErr w:type="spellEnd"/>
      <w:r w:rsidRPr="00652375">
        <w:t xml:space="preserve"> entre quaisquer dois produtos são proporcionais apenas às participações de mercado, independentemente de quão similares ou distantes sejam os produtos em termos de características.</w:t>
      </w:r>
    </w:p>
    <w:p w14:paraId="5D83D7FC" w14:textId="14121B17" w:rsidR="00652375" w:rsidRPr="00652375" w:rsidRDefault="00652375" w:rsidP="00652375">
      <w:pPr>
        <w:jc w:val="both"/>
      </w:pPr>
      <w:proofErr w:type="spellStart"/>
      <w:r w:rsidRPr="00652375">
        <w:rPr>
          <w:b/>
          <w:bCs/>
        </w:rPr>
        <w:t>Logit</w:t>
      </w:r>
      <w:proofErr w:type="spellEnd"/>
      <w:r w:rsidRPr="00652375">
        <w:rPr>
          <w:b/>
          <w:bCs/>
        </w:rPr>
        <w:t xml:space="preserve"> aninhado (</w:t>
      </w:r>
      <w:proofErr w:type="spellStart"/>
      <w:r w:rsidRPr="00652375">
        <w:rPr>
          <w:b/>
          <w:bCs/>
        </w:rPr>
        <w:t>nested</w:t>
      </w:r>
      <w:proofErr w:type="spellEnd"/>
      <w:r w:rsidRPr="00652375">
        <w:rPr>
          <w:b/>
          <w:bCs/>
        </w:rPr>
        <w:t xml:space="preserve"> </w:t>
      </w:r>
      <w:proofErr w:type="spellStart"/>
      <w:r w:rsidRPr="00652375">
        <w:rPr>
          <w:b/>
          <w:bCs/>
        </w:rPr>
        <w:t>logit</w:t>
      </w:r>
      <w:proofErr w:type="spellEnd"/>
      <w:r w:rsidRPr="00652375">
        <w:rPr>
          <w:b/>
          <w:bCs/>
        </w:rPr>
        <w:t>).</w:t>
      </w:r>
      <w:r w:rsidRPr="00652375">
        <w:t xml:space="preserve"> O modelo agrupa produtos em </w:t>
      </w:r>
      <m:oMath>
        <m:r>
          <w:rPr>
            <w:rFonts w:ascii="Cambria Math" w:hAnsi="Cambria Math"/>
          </w:rPr>
          <m:t>G+1</m:t>
        </m:r>
      </m:oMath>
      <w:r w:rsidRPr="00652375">
        <w:t xml:space="preserve">conjuntos mutuamente exclusivos. Dentro de cada grupo, as utilidades são correlacionadas por um componente comum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ig</m:t>
            </m:r>
          </m:sub>
        </m:sSub>
      </m:oMath>
      <w:r w:rsidRPr="00652375">
        <w:t xml:space="preserve">, com parâmetro de correlação 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σ∈[0,1</m:t>
            </m:r>
          </m:e>
        </m:d>
      </m:oMath>
      <w:r w:rsidRPr="00652375">
        <w:t xml:space="preserve">. A participação de mercado dentro do grupo </w:t>
      </w:r>
      <m:oMath>
        <m:r>
          <w:rPr>
            <w:rFonts w:ascii="Cambria Math" w:hAnsi="Cambria Math"/>
          </w:rPr>
          <m:t>g</m:t>
        </m:r>
      </m:oMath>
      <w:r w:rsidRPr="00652375">
        <w:t xml:space="preserve">é: </w:t>
      </w:r>
    </w:p>
    <w:p w14:paraId="2601B9D0" w14:textId="25F02CD6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(1-σ)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br/>
          </m:r>
        </m:oMath>
      </m:oMathPara>
    </w:p>
    <w:p w14:paraId="2B421D2E" w14:textId="77777777" w:rsidR="00652375" w:rsidRPr="00652375" w:rsidRDefault="00652375" w:rsidP="00652375">
      <w:pPr>
        <w:jc w:val="both"/>
      </w:pPr>
      <w:r w:rsidRPr="00652375">
        <w:t>e a inversão analítica resulta na equação estimável:</w:t>
      </w:r>
    </w:p>
    <w:p w14:paraId="22664587" w14:textId="380BD96C" w:rsidR="00652375" w:rsidRPr="00652375" w:rsidRDefault="00652375" w:rsidP="00652375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β-α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+σ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48862163" w14:textId="532E6F56" w:rsidR="00652375" w:rsidRPr="00652375" w:rsidRDefault="00652375" w:rsidP="00652375">
      <w:pPr>
        <w:jc w:val="both"/>
      </w:pPr>
      <w:r w:rsidRPr="00652375">
        <w:t xml:space="preserve">O termo adicional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)</m:t>
        </m:r>
      </m:oMath>
      <w:r w:rsidRPr="00652375">
        <w:t xml:space="preserve">capta a correlação dentro do grupo.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g</m:t>
            </m:r>
          </m:sub>
        </m:sSub>
      </m:oMath>
      <w:r w:rsidRPr="00652375">
        <w:t xml:space="preserve">é endógeno (depende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), são necessários instrumentos adicionais para essa variável. O nested logit permite padrões de substituição mais ricos que o logit simples, mas ainda restringe a correlação a grupos predefinidos. </w:t>
      </w:r>
    </w:p>
    <w:p w14:paraId="5CBBA888" w14:textId="31472F07" w:rsidR="00652375" w:rsidRPr="00652375" w:rsidRDefault="00652375" w:rsidP="00652375">
      <w:pPr>
        <w:jc w:val="both"/>
      </w:pPr>
      <w:r w:rsidRPr="00652375">
        <w:rPr>
          <w:b/>
          <w:bCs/>
        </w:rPr>
        <w:t>Modelo de coeficientes aleatórios.</w:t>
      </w:r>
      <w:r w:rsidRPr="00652375">
        <w:t xml:space="preserve"> É o caso mais geral: os parâmetros de gosto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52375">
        <w:t xml:space="preserve">(e potencialmente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52375">
        <w:t xml:space="preserve">) variam de forma contínua entre consumidores, com desvios-padrão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52375">
        <w:t xml:space="preserve">a serem estimados. Aqui, a participação de mercado é uma integral da forma: </w:t>
      </w:r>
    </w:p>
    <w:p w14:paraId="263D53E2" w14:textId="75658948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(δ,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9C7BCDA" w14:textId="508DBCBA" w:rsidR="00652375" w:rsidRPr="00652375" w:rsidRDefault="00652375" w:rsidP="00652375">
      <w:pPr>
        <w:jc w:val="both"/>
      </w:pPr>
      <w:r w:rsidRPr="00652375">
        <w:lastRenderedPageBreak/>
        <w:t xml:space="preserve">que tipicamente não tem forma fechada e precisa ser calculada por simulação. A inversão do vetor </w:t>
      </w:r>
      <m:oMath>
        <m:r>
          <w:rPr>
            <w:rFonts w:ascii="Cambria Math" w:hAnsi="Cambria Math"/>
          </w:rPr>
          <m:t>δ</m:t>
        </m:r>
      </m:oMath>
      <w:r w:rsidRPr="00652375">
        <w:t xml:space="preserve">precisa ser feita numericamente. O ganho é que o modelo permite padrões muito mais flexíveis de substituição, pois produtos com características similares competem mais entre si. A estimação é por GMM não linear (Hansen, 1982), com maior custo computacional. </w:t>
      </w:r>
    </w:p>
    <w:p w14:paraId="1EA4B011" w14:textId="553B5931" w:rsidR="00652375" w:rsidRPr="00652375" w:rsidRDefault="00652375" w:rsidP="00652375">
      <w:pPr>
        <w:jc w:val="both"/>
      </w:pPr>
      <w:r w:rsidRPr="00652375">
        <w:rPr>
          <w:b/>
          <w:bCs/>
        </w:rPr>
        <w:t>Modelo de diferenciação vertical.</w:t>
      </w:r>
      <w:r w:rsidRPr="00652375">
        <w:t xml:space="preserve"> Nesse caso especial, os produtos são ranqueados univocamente por qualidade e os consumidores diferem </w:t>
      </w:r>
      <w:r w:rsidRPr="00652375">
        <w:t>enquanto</w:t>
      </w:r>
      <w:r w:rsidRPr="00652375">
        <w:t xml:space="preserve"> valorizam a qualidade. A inversão também pode ser obtida analiticamente.</w:t>
      </w:r>
    </w:p>
    <w:p w14:paraId="2F0350D9" w14:textId="77777777" w:rsidR="00652375" w:rsidRPr="00652375" w:rsidRDefault="00652375" w:rsidP="00652375">
      <w:pPr>
        <w:jc w:val="both"/>
      </w:pPr>
      <w:r w:rsidRPr="00652375">
        <w:pict w14:anchorId="03334DE8">
          <v:rect id="_x0000_i1207" style="width:0;height:1.5pt" o:hralign="center" o:hrstd="t" o:hr="t" fillcolor="#a0a0a0" stroked="f"/>
        </w:pict>
      </w:r>
    </w:p>
    <w:p w14:paraId="2D41520D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5. O lado da oferta</w:t>
      </w:r>
    </w:p>
    <w:p w14:paraId="3DF57F8F" w14:textId="2B92FE3A" w:rsidR="00652375" w:rsidRPr="00652375" w:rsidRDefault="00652375" w:rsidP="00652375">
      <w:pPr>
        <w:jc w:val="both"/>
      </w:pPr>
      <w:r w:rsidRPr="00652375">
        <w:t xml:space="preserve">Após estimar 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pela inversão das participações, é possível incorporar as condições de equilíbrio do lado da oferta. Sob Nash-Bertrand, a condição de primeira ordem de cada firma implica: </w:t>
      </w:r>
    </w:p>
    <w:p w14:paraId="0E2B6BB1" w14:textId="5EC927EA" w:rsidR="00652375" w:rsidRPr="00652375" w:rsidRDefault="00652375" w:rsidP="0065237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,γ)+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32CF1781" w14:textId="58A562DB" w:rsidR="00652375" w:rsidRPr="00652375" w:rsidRDefault="00652375" w:rsidP="00652375">
      <w:pPr>
        <w:jc w:val="both"/>
      </w:pPr>
      <w:r w:rsidRPr="00652375">
        <w:t xml:space="preserve">onde o segundo termo é o markup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é o choque de custo não observado. Dada a estimativa de </w:t>
      </w:r>
      <m:oMath>
        <m:r>
          <w:rPr>
            <w:rFonts w:ascii="Cambria Math" w:hAnsi="Cambria Math"/>
          </w:rPr>
          <m:t>δ</m:t>
        </m:r>
      </m:oMath>
      <w:r w:rsidRPr="00652375">
        <w:t xml:space="preserve">, o markup é uma função conhecida (analítica ou numericamente calculável) dos dados e dos parâmetros de demanda já estimados. A equação de custo marginal pode então ser estimada por IV,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como erro: </w:t>
      </w:r>
    </w:p>
    <w:p w14:paraId="4DC57E2A" w14:textId="20B30E3E" w:rsidR="00652375" w:rsidRPr="00652375" w:rsidRDefault="00652375" w:rsidP="00652375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markup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  <w:lang w:val="en-US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lang w:val="en-US"/>
            </w:rPr>
            <w:br/>
          </m:r>
        </m:oMath>
      </m:oMathPara>
    </w:p>
    <w:p w14:paraId="2C85E3FB" w14:textId="77777777" w:rsidR="00652375" w:rsidRPr="00652375" w:rsidRDefault="00652375" w:rsidP="00652375">
      <w:pPr>
        <w:jc w:val="both"/>
      </w:pPr>
      <w:r w:rsidRPr="00652375">
        <w:t>Isso permite recuperar os parâmetros da função de custo, testar hipóteses sobre conduta (por exemplo, se as firmas agem como Bertrand, como conluio, etc.) e calcular markups produto a produto.</w:t>
      </w:r>
    </w:p>
    <w:p w14:paraId="2787DC0B" w14:textId="77777777" w:rsidR="00652375" w:rsidRPr="00652375" w:rsidRDefault="00652375" w:rsidP="00652375">
      <w:pPr>
        <w:jc w:val="both"/>
      </w:pPr>
      <w:r w:rsidRPr="00652375">
        <w:pict w14:anchorId="624081FD">
          <v:rect id="_x0000_i1208" style="width:0;height:1.5pt" o:hralign="center" o:hrstd="t" o:hr="t" fillcolor="#a0a0a0" stroked="f"/>
        </w:pict>
      </w:r>
    </w:p>
    <w:p w14:paraId="22114CE4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6. Instrumentos</w:t>
      </w:r>
    </w:p>
    <w:p w14:paraId="0CBF97D4" w14:textId="44615D34" w:rsidR="00652375" w:rsidRPr="00652375" w:rsidRDefault="00652375" w:rsidP="00652375">
      <w:pPr>
        <w:jc w:val="both"/>
      </w:pPr>
      <w:r w:rsidRPr="00652375">
        <w:t xml:space="preserve">A endogeneidade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exige instrumentos válidos para a equação de demanda. Berry discute duas fontes: </w:t>
      </w:r>
    </w:p>
    <w:p w14:paraId="2D30610E" w14:textId="2D7C7041" w:rsidR="00652375" w:rsidRPr="00652375" w:rsidRDefault="00652375" w:rsidP="00652375">
      <w:pPr>
        <w:numPr>
          <w:ilvl w:val="0"/>
          <w:numId w:val="3"/>
        </w:numPr>
        <w:jc w:val="both"/>
      </w:pPr>
      <w:r w:rsidRPr="00652375">
        <w:rPr>
          <w:b/>
          <w:bCs/>
        </w:rPr>
        <w:t>Variáveis de custo</w:t>
      </w:r>
      <w:r w:rsidRPr="00652375">
        <w:t xml:space="preserve"> excluídas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2375">
        <w:t xml:space="preserve">, como preços de insumos específicos das firmas: instrumentos tradicionais do caso de bens homogêneos. </w:t>
      </w:r>
    </w:p>
    <w:p w14:paraId="3408230A" w14:textId="23306743" w:rsidR="00652375" w:rsidRPr="00652375" w:rsidRDefault="00652375" w:rsidP="00652375">
      <w:pPr>
        <w:numPr>
          <w:ilvl w:val="0"/>
          <w:numId w:val="3"/>
        </w:numPr>
        <w:jc w:val="both"/>
      </w:pPr>
      <w:r w:rsidRPr="00652375">
        <w:rPr>
          <w:b/>
          <w:bCs/>
        </w:rPr>
        <w:t>Características de outros produtos</w:t>
      </w:r>
      <w:r w:rsidRPr="00652375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52375"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652375">
        <w:t xml:space="preserve">): instrumentos relevantes especificamente em mercados diferenciados, pois as características dos concorrentes afetam os markups (via condições de primeira ordem do </w:t>
      </w:r>
      <w:r w:rsidRPr="00652375">
        <w:lastRenderedPageBreak/>
        <w:t xml:space="preserve">equilíbrio) e são exógenas à demanda do produto </w:t>
      </w:r>
      <m:oMath>
        <m:r>
          <w:rPr>
            <w:rFonts w:ascii="Cambria Math" w:hAnsi="Cambria Math"/>
          </w:rPr>
          <m:t>j</m:t>
        </m:r>
      </m:oMath>
      <w:r w:rsidRPr="00652375">
        <w:t xml:space="preserve">. Essa ideia foi desenvolvida em detalhes por Berry, Levinsohn e Pakes (1993). </w:t>
      </w:r>
    </w:p>
    <w:p w14:paraId="3734FF04" w14:textId="77777777" w:rsidR="00652375" w:rsidRPr="00652375" w:rsidRDefault="00652375" w:rsidP="00652375">
      <w:pPr>
        <w:jc w:val="both"/>
      </w:pPr>
      <w:r w:rsidRPr="00652375">
        <w:t>O argumento é importante: em mercados com concorrência imperfeita, variáveis que afetam markups (e não apenas o custo marginal) podem ser instrumentos legítimos para preço.</w:t>
      </w:r>
    </w:p>
    <w:p w14:paraId="072801C4" w14:textId="77777777" w:rsidR="00652375" w:rsidRPr="00652375" w:rsidRDefault="00652375" w:rsidP="00652375">
      <w:pPr>
        <w:jc w:val="both"/>
      </w:pPr>
      <w:r w:rsidRPr="00652375">
        <w:pict w14:anchorId="5FC7B667">
          <v:rect id="_x0000_i1209" style="width:0;height:1.5pt" o:hralign="center" o:hrstd="t" o:hr="t" fillcolor="#a0a0a0" stroked="f"/>
        </w:pict>
      </w:r>
    </w:p>
    <w:p w14:paraId="24D8705B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7. Evidência de Monte Carlo</w:t>
      </w:r>
    </w:p>
    <w:p w14:paraId="1E5B16B9" w14:textId="69E73D8F" w:rsidR="00652375" w:rsidRPr="00652375" w:rsidRDefault="00652375" w:rsidP="00652375">
      <w:pPr>
        <w:jc w:val="both"/>
      </w:pPr>
      <w:r w:rsidRPr="00652375">
        <w:t xml:space="preserve">Para demonstrar a importância de corrigir a endogeneidade dos preços, Berry apresenta simulações com 100 amostras de 500 mercados </w:t>
      </w:r>
      <w:proofErr w:type="spellStart"/>
      <w:r w:rsidRPr="00652375">
        <w:t>duopolistas</w:t>
      </w:r>
      <w:proofErr w:type="spellEnd"/>
      <w:r w:rsidRPr="00652375">
        <w:t xml:space="preserve"> usando utilidade </w:t>
      </w:r>
      <w:proofErr w:type="spellStart"/>
      <w:r w:rsidRPr="00652375">
        <w:t>logit</w:t>
      </w:r>
      <w:proofErr w:type="spellEnd"/>
      <w:r w:rsidRPr="00652375">
        <w:t xml:space="preserve">. Os resultados (Tabela 1) são claros: o OLS subestima substancialmente todos os parâmetros, em especial o coeficiente de preço </w:t>
      </w:r>
      <m:oMath>
        <m:r>
          <w:rPr>
            <w:rFonts w:ascii="Cambria Math" w:hAnsi="Cambria Math"/>
          </w:rPr>
          <m:t>α</m:t>
        </m:r>
      </m:oMath>
      <w:r w:rsidRPr="00652375">
        <w:t>(o estimador de OLS recupera apenas 73% do valor verdadeiro). O estimador de IV é praticamente não viesado. Quando a variância das características não observadas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652375">
        <w:t xml:space="preserve">) aumenta de 1 para 3, o viés do OLS se torna ainda mais severo, ao passo que o IV mantém boa precisão. </w:t>
      </w:r>
    </w:p>
    <w:p w14:paraId="27836B82" w14:textId="77777777" w:rsidR="00652375" w:rsidRPr="00652375" w:rsidRDefault="00652375" w:rsidP="00652375">
      <w:pPr>
        <w:jc w:val="both"/>
      </w:pPr>
      <w:r w:rsidRPr="00652375">
        <w:pict w14:anchorId="0BAD890E">
          <v:rect id="_x0000_i1210" style="width:0;height:1.5pt" o:hralign="center" o:hrstd="t" o:hr="t" fillcolor="#a0a0a0" stroked="f"/>
        </w:pict>
      </w:r>
    </w:p>
    <w:p w14:paraId="77C02BD2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8. Limitações reconhecidas</w:t>
      </w:r>
    </w:p>
    <w:p w14:paraId="225E1013" w14:textId="77777777" w:rsidR="00652375" w:rsidRPr="00652375" w:rsidRDefault="00652375" w:rsidP="00652375">
      <w:pPr>
        <w:jc w:val="both"/>
      </w:pPr>
      <w:r w:rsidRPr="00652375">
        <w:t xml:space="preserve">Berry é explícito sobre as restrições do método. Em particular: (i) assume que a distribuição dos gostos dos consumidores é conhecida até um vetor de parâmetros; (ii) assume que as características observadas dos produtos são exógenas </w:t>
      </w:r>
      <w:proofErr w:type="spellStart"/>
      <w:r w:rsidRPr="00652375">
        <w:t>econometricamente</w:t>
      </w:r>
      <w:proofErr w:type="spellEnd"/>
      <w:r w:rsidRPr="00652375">
        <w:t xml:space="preserve">, o que é uma hipótese forte em muitos contextos (firmas podem escolher as características endogenamente); (iii) a estrutura estática ignora dinâmicas de entrada, saída e ajuste de produtos. O problema da </w:t>
      </w:r>
      <w:proofErr w:type="spellStart"/>
      <w:r w:rsidRPr="00652375">
        <w:t>exogeneidade</w:t>
      </w:r>
      <w:proofErr w:type="spellEnd"/>
      <w:r w:rsidRPr="00652375">
        <w:t xml:space="preserve"> de características de produto, como o próprio Berry nota, "aguarda progresso em modelos dinâmicos de comportamento das firmas."</w:t>
      </w:r>
    </w:p>
    <w:p w14:paraId="0D9B7B40" w14:textId="77777777" w:rsidR="00652375" w:rsidRPr="00652375" w:rsidRDefault="00652375" w:rsidP="00652375">
      <w:pPr>
        <w:jc w:val="both"/>
      </w:pPr>
      <w:r w:rsidRPr="00652375">
        <w:pict w14:anchorId="1B6F8653">
          <v:rect id="_x0000_i1211" style="width:0;height:1.5pt" o:hralign="center" o:hrstd="t" o:hr="t" fillcolor="#a0a0a0" stroked="f"/>
        </w:pict>
      </w:r>
    </w:p>
    <w:p w14:paraId="20D411A1" w14:textId="77777777" w:rsidR="00652375" w:rsidRPr="00652375" w:rsidRDefault="00652375" w:rsidP="00652375">
      <w:pPr>
        <w:jc w:val="both"/>
        <w:rPr>
          <w:b/>
          <w:bCs/>
        </w:rPr>
      </w:pPr>
      <w:r w:rsidRPr="00652375">
        <w:rPr>
          <w:b/>
          <w:bCs/>
        </w:rPr>
        <w:t>9. Posição na literatura</w:t>
      </w:r>
    </w:p>
    <w:p w14:paraId="02B51CFE" w14:textId="77777777" w:rsidR="00652375" w:rsidRPr="00652375" w:rsidRDefault="00652375" w:rsidP="00652375">
      <w:pPr>
        <w:jc w:val="both"/>
      </w:pPr>
      <w:r w:rsidRPr="00652375">
        <w:t xml:space="preserve">O artigo é o antecessor direto de Berry, Levinsohn e </w:t>
      </w:r>
      <w:proofErr w:type="spellStart"/>
      <w:r w:rsidRPr="00652375">
        <w:t>Pakes</w:t>
      </w:r>
      <w:proofErr w:type="spellEnd"/>
      <w:r w:rsidRPr="00652375">
        <w:t xml:space="preserve"> (1995) — o BLP — que estende o método ao modelo de coeficientes aleatórios completo e o aplica empiricamente ao mercado de automóveis americano. Conceitualmente, Berry (1994) fornece o arcabouço unificado que permite tratar qualquer modelo de escolha discreta de forma consistente com a endogeneidade de preços, linearizando o problema via inversão e abrindo caminho para o uso de GMM em EIO estrutural.</w:t>
      </w:r>
    </w:p>
    <w:p w14:paraId="01F73977" w14:textId="77777777" w:rsidR="00652375" w:rsidRPr="00652375" w:rsidRDefault="00652375" w:rsidP="00C92749">
      <w:pPr>
        <w:jc w:val="both"/>
      </w:pPr>
    </w:p>
    <w:sectPr w:rsidR="00652375" w:rsidRPr="006523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2"/>
  </w:num>
  <w:num w:numId="2" w16cid:durableId="420641952">
    <w:abstractNumId w:val="1"/>
  </w:num>
  <w:num w:numId="3" w16cid:durableId="147360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305F92"/>
    <w:rsid w:val="00652375"/>
    <w:rsid w:val="006B7E4C"/>
    <w:rsid w:val="007B5240"/>
    <w:rsid w:val="008D3628"/>
    <w:rsid w:val="00A17ECD"/>
    <w:rsid w:val="00A827CF"/>
    <w:rsid w:val="00C9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1175</Words>
  <Characters>7934</Characters>
  <Application>Microsoft Office Word</Application>
  <DocSecurity>0</DocSecurity>
  <Lines>293</Lines>
  <Paragraphs>325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2</cp:revision>
  <dcterms:created xsi:type="dcterms:W3CDTF">2026-04-09T23:33:00Z</dcterms:created>
  <dcterms:modified xsi:type="dcterms:W3CDTF">2026-04-13T14:15:00Z</dcterms:modified>
</cp:coreProperties>
</file>