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M3 Challenge Report</w:t>
      </w:r>
    </w:p>
    <w:p>
      <w:pPr>
        <w:pStyle w:val="Heading2"/>
      </w:pPr>
      <w:r>
        <w:t>Q2: Know the Spread</w:t>
      </w:r>
    </w:p>
    <w:p/>
    <w:p>
      <w:pPr>
        <w:pStyle w:val="Heading2"/>
      </w:pPr>
      <w:r>
        <w:t>1) Problem Statement</w:t>
      </w:r>
    </w:p>
    <w:p>
      <w:r>
        <w:t>The goal is to estimate how annual online sports betting outcomes (gain/loss) are distributed across demographic groups, rather than only estimating total market loss. Specifically, this report models participation and annual net outcome as functions of sex, age, education, and behavioral risk profile.</w:t>
      </w:r>
    </w:p>
    <w:p/>
    <w:p>
      <w:pPr>
        <w:pStyle w:val="Heading2"/>
      </w:pPr>
      <w:r>
        <w:t>2) Data Sources and Provenance</w:t>
      </w:r>
    </w:p>
    <w:p>
      <w:pPr>
        <w:pStyle w:val="Heading3"/>
      </w:pPr>
      <w:r>
        <w:t>2.1 M3-provided data (primary inferential source)</w:t>
      </w:r>
    </w:p>
    <w:p>
      <w:pPr>
        <w:pStyle w:val="ListBullet"/>
      </w:pPr>
      <w:r>
        <w:t>Reshaped survey table: [data/m3_demographic_long.csv](data/m3_demographic_long.csv)</w:t>
      </w:r>
    </w:p>
    <w:p>
      <w:pPr>
        <w:pStyle w:val="ListBullet"/>
      </w:pPr>
      <w:r>
        <w:t>Model-ready subgroup table: [data/q2_model_input.csv](data/q2_model_input.csv)</w:t>
      </w:r>
    </w:p>
    <w:p/>
    <w:p>
      <w:r>
        <w:t>These data are used as the main source for demographic participation rates and risk-behavior priors.</w:t>
      </w:r>
    </w:p>
    <w:p/>
    <w:p>
      <w:pPr>
        <w:pStyle w:val="Heading3"/>
      </w:pPr>
      <w:r>
        <w:t>2.2 External 100,000-row bet-level dataset (mechanics source only)</w:t>
      </w:r>
    </w:p>
    <w:p>
      <w:pPr>
        <w:pStyle w:val="ListBullet"/>
      </w:pPr>
      <w:r>
        <w:t>File: [bets.csv](bets.csv)</w:t>
      </w:r>
    </w:p>
    <w:p/>
    <w:p>
      <w:r>
        <w:t>This dataset was sourced from Kaggle and does not have strong provenance/citation metadata in this project. Therefore, this report **does not treat it as representative ground truth** for population-level subgroup behavior. Instead, it is used only as a stochastic mechanics library for plausible distributions of odds, stake, and payout relationships.</w:t>
      </w:r>
    </w:p>
    <w:p/>
    <w:p>
      <w:pPr>
        <w:pStyle w:val="Heading3"/>
      </w:pPr>
      <w:r>
        <w:t>2.3 Caveated use policy (important for judging)</w:t>
      </w:r>
    </w:p>
    <w:p>
      <w:r>
        <w:t>To avoid overclaiming from uncertain provenance, the modeling design enforces:</w:t>
      </w:r>
    </w:p>
    <w:p>
      <w:r>
        <w:t>1. **Demographic inference anchored to M3 data**, not Kaggle frequencies.</w:t>
      </w:r>
    </w:p>
    <w:p>
      <w:r>
        <w:t>2. **Kaggle used only to shape micro-outcome dynamics** (odds/stake/payout sampling).</w:t>
      </w:r>
    </w:p>
    <w:p>
      <w:r>
        <w:t>3. **Calibration to hold-rate scenarios** so final loss levels are controlled transparently.</w:t>
      </w:r>
    </w:p>
    <w:p>
      <w:r>
        <w:t>4. **Scenario-based reporting** rather than single-point certainty claims.</w:t>
      </w:r>
    </w:p>
    <w:p/>
    <w:p>
      <w:pPr>
        <w:pStyle w:val="Heading2"/>
      </w:pPr>
      <w:r>
        <w:t>3) Methodology</w:t>
      </w:r>
    </w:p>
    <w:p>
      <w:pPr>
        <w:pStyle w:val="Heading3"/>
      </w:pPr>
      <w:r>
        <w:t>3.1 Stage A: Participation model</w:t>
      </w:r>
    </w:p>
    <w:p>
      <w:r>
        <w:t>For each subgroup (`sex × age_band × education`), participation is estimated as:</w:t>
      </w:r>
    </w:p>
    <w:p>
      <w:r>
        <w:t>$$</w:t>
      </w:r>
    </w:p>
    <w:p>
      <w:r>
        <w:t>P(\text{active bettor}) = P(\text{has account}) \times P(\text{placed bet}\mid\text{account})</w:t>
      </w:r>
    </w:p>
    <w:p>
      <w:r>
        <w:t>$$</w:t>
      </w:r>
    </w:p>
    <w:p/>
    <w:p>
      <w:r>
        <w:t>Then a logistic-style linear fit on log-odds is used for interpretable subgroup effects.</w:t>
      </w:r>
    </w:p>
    <w:p/>
    <w:p>
      <w:r>
        <w:t>Outputs:</w:t>
      </w:r>
    </w:p>
    <w:p>
      <w:pPr>
        <w:pStyle w:val="ListBullet"/>
      </w:pPr>
      <w:r>
        <w:t>[data/q2_stageA_coefficients.csv](data/q2_stageA_coefficients.csv)</w:t>
      </w:r>
    </w:p>
    <w:p>
      <w:pPr>
        <w:pStyle w:val="ListBullet"/>
      </w:pPr>
      <w:r>
        <w:t>[data/q2_stageA_predictions.csv](data/q2_stageA_predictions.csv)</w:t>
      </w:r>
    </w:p>
    <w:p/>
    <w:p>
      <w:pPr>
        <w:pStyle w:val="Heading3"/>
      </w:pPr>
      <w:r>
        <w:t>3.2 Risk profile construction</w:t>
      </w:r>
    </w:p>
    <w:p>
      <w:r>
        <w:t>A subgroup-level risk index is constructed from M3 behavioral indicators:</w:t>
      </w:r>
    </w:p>
    <w:p>
      <w:pPr>
        <w:pStyle w:val="ListBullet"/>
      </w:pPr>
      <w:r>
        <w:t>chasing losses,</w:t>
      </w:r>
    </w:p>
    <w:p>
      <w:pPr>
        <w:pStyle w:val="ListBullet"/>
      </w:pPr>
      <w:r>
        <w:t>high single-day wager signals ($100+ and $500+),</w:t>
      </w:r>
    </w:p>
    <w:p>
      <w:pPr>
        <w:pStyle w:val="ListBullet"/>
      </w:pPr>
      <w:r>
        <w:t>deposit frequency,</w:t>
      </w:r>
    </w:p>
    <w:p>
      <w:pPr>
        <w:pStyle w:val="ListBullet"/>
      </w:pPr>
      <w:r>
        <w:t>withdrawal behavior,</w:t>
      </w:r>
    </w:p>
    <w:p>
      <w:pPr>
        <w:pStyle w:val="ListBullet"/>
      </w:pPr>
      <w:r>
        <w:t>confidence in making money from betting.</w:t>
      </w:r>
    </w:p>
    <w:p/>
    <w:p>
      <w:r>
        <w:t>Subgroups are bucketed into `low / medium / high` risk tiers in [data/q2_model_input.csv](data/q2_model_input.csv).</w:t>
      </w:r>
    </w:p>
    <w:p/>
    <w:p>
      <w:pPr>
        <w:pStyle w:val="Heading3"/>
      </w:pPr>
      <w:r>
        <w:t>3.3 Stage B: Annual gain/loss simulation</w:t>
      </w:r>
    </w:p>
    <w:p>
      <w:r>
        <w:t>Monte Carlo simulation samples 30,000 individuals and simulates annual outcomes by:</w:t>
      </w:r>
    </w:p>
    <w:p>
      <w:r>
        <w:t>1. assigning subgroup and activity status,</w:t>
      </w:r>
    </w:p>
    <w:p>
      <w:r>
        <w:t>2. sampling bet counts and stake multipliers by risk tier,</w:t>
      </w:r>
    </w:p>
    <w:p>
      <w:r>
        <w:t>3. drawing odds/stake/payout patterns from the bet-level mechanics pool,</w:t>
      </w:r>
    </w:p>
    <w:p>
      <w:r>
        <w:t>4. aggregating yearly staked, payout, and net gain/loss,</w:t>
      </w:r>
    </w:p>
    <w:p>
      <w:r>
        <w:t>5. computing tail-risk probabilities.</w:t>
      </w:r>
    </w:p>
    <w:p/>
    <w:p>
      <w:r>
        <w:t>Baseline outputs:</w:t>
      </w:r>
    </w:p>
    <w:p>
      <w:pPr>
        <w:pStyle w:val="ListBullet"/>
      </w:pPr>
      <w:r>
        <w:t>[data/q2_simulated_individual_outcomes.csv](data/q2_simulated_individual_outcomes.csv)</w:t>
      </w:r>
    </w:p>
    <w:p>
      <w:pPr>
        <w:pStyle w:val="ListBullet"/>
      </w:pPr>
      <w:r>
        <w:t>[data/q2_subgroup_summary.csv](data/q2_subgroup_summary.csv)</w:t>
      </w:r>
    </w:p>
    <w:p>
      <w:pPr>
        <w:pStyle w:val="ListBullet"/>
      </w:pPr>
      <w:r>
        <w:t>[data/q2_overall_summary.csv](data/q2_overall_summary.csv)</w:t>
      </w:r>
    </w:p>
    <w:p/>
    <w:p>
      <w:pPr>
        <w:pStyle w:val="Heading2"/>
      </w:pPr>
      <w:r>
        <w:t>4) Calibration and Uncertainty Handling</w:t>
      </w:r>
    </w:p>
    <w:p>
      <w:r>
        <w:t>Observed hold from [bets.csv](bets.csv) is approximately 10.06%. To avoid dependence on one assumed house edge, the model is recalibrated under three hold scenarios:</w:t>
      </w:r>
    </w:p>
    <w:p>
      <w:pPr>
        <w:pStyle w:val="ListBullet"/>
      </w:pPr>
      <w:r>
        <w:t>low hold: 8.06%</w:t>
      </w:r>
    </w:p>
    <w:p>
      <w:pPr>
        <w:pStyle w:val="ListBullet"/>
      </w:pPr>
      <w:r>
        <w:t>base hold: 10.06%</w:t>
      </w:r>
    </w:p>
    <w:p>
      <w:pPr>
        <w:pStyle w:val="ListBullet"/>
      </w:pPr>
      <w:r>
        <w:t>high hold: 12.06%</w:t>
      </w:r>
    </w:p>
    <w:p/>
    <w:p>
      <w:r>
        <w:t>Calibration outputs:</w:t>
      </w:r>
    </w:p>
    <w:p>
      <w:pPr>
        <w:pStyle w:val="ListBullet"/>
      </w:pPr>
      <w:r>
        <w:t>[data/q2_calibration_summary.csv](data/q2_calibration_summary.csv)</w:t>
      </w:r>
    </w:p>
    <w:p>
      <w:pPr>
        <w:pStyle w:val="ListBullet"/>
      </w:pPr>
      <w:r>
        <w:t>[data/q2_scenario_overall_summary.csv](data/q2_scenario_overall_summary.csv)</w:t>
      </w:r>
    </w:p>
    <w:p>
      <w:pPr>
        <w:pStyle w:val="ListBullet"/>
      </w:pPr>
      <w:r>
        <w:t>[data/q2_scenario_subgroup_summary.csv](data/q2_scenario_subgroup_summary.csv)</w:t>
      </w:r>
    </w:p>
    <w:p/>
    <w:p>
      <w:pPr>
        <w:pStyle w:val="Heading2"/>
      </w:pPr>
      <w:r>
        <w:t>5) Results</w:t>
      </w:r>
    </w:p>
    <w:p>
      <w:pPr>
        <w:pStyle w:val="Heading3"/>
      </w:pPr>
      <w:r>
        <w:t>5.1 Overall results (calibrated)</w:t>
      </w:r>
    </w:p>
    <w:p>
      <w:r>
        <w:t>From [data/q2_scenario_overall_summary.csv](data/q2_scenario_overall_summary.csv):</w:t>
      </w:r>
    </w:p>
    <w:p>
      <w:pPr>
        <w:pStyle w:val="ListBullet"/>
      </w:pPr>
      <w:r>
        <w:t>Base hold: mean annual net = **-$1,326** per simulated person</w:t>
      </w:r>
    </w:p>
    <w:p>
      <w:pPr>
        <w:pStyle w:val="ListBullet"/>
      </w:pPr>
      <w:r>
        <w:t>Active betting rate = **31.2%**</w:t>
      </w:r>
    </w:p>
    <w:p>
      <w:pPr>
        <w:pStyle w:val="ListBullet"/>
      </w:pPr>
      <w:r>
        <w:t>$P(\text{loss} &gt; 500) = 20.7\%$</w:t>
      </w:r>
    </w:p>
    <w:p>
      <w:pPr>
        <w:pStyle w:val="ListBullet"/>
      </w:pPr>
      <w:r>
        <w:t>$P(\text{loss} &gt; 2000) = 18.3\%$</w:t>
      </w:r>
    </w:p>
    <w:p>
      <w:pPr>
        <w:pStyle w:val="ListBullet"/>
      </w:pPr>
      <w:r>
        <w:t>$P(\text{loss} &gt; 5000) = 14.0\%$</w:t>
      </w:r>
    </w:p>
    <w:p/>
    <w:p>
      <w:r>
        <w:t>Sensitivity (low → high hold):</w:t>
      </w:r>
    </w:p>
    <w:p>
      <w:pPr>
        <w:pStyle w:val="ListBullet"/>
      </w:pPr>
      <w:r>
        <w:t>mean annual net shifts by about **-$527** per person,</w:t>
      </w:r>
    </w:p>
    <w:p>
      <w:pPr>
        <w:pStyle w:val="ListBullet"/>
      </w:pPr>
      <w:r>
        <w:t>$P(\text{loss} &gt; 2000)$ rises by about **1.8 percentage points**.</w:t>
      </w:r>
    </w:p>
    <w:p/>
    <w:p>
      <w:pPr>
        <w:pStyle w:val="Heading3"/>
      </w:pPr>
      <w:r>
        <w:t>5.2 Highest-risk demographic segments (base hold)</w:t>
      </w:r>
    </w:p>
    <w:p>
      <w:r>
        <w:t>From [data/q2_top_risk_subgroups.csv](data/q2_top_risk_subgroups.csv), highest-risk groups are concentrated in younger male subgroups:</w:t>
      </w:r>
    </w:p>
    <w:p>
      <w:pPr>
        <w:pStyle w:val="ListBullet"/>
      </w:pPr>
      <w:r>
        <w:t>Male, 18–34, B.A. or higher: mean net ≈ **-$2,870**, $P(\text{loss} &gt; 2000) \approx 32.4\%$</w:t>
      </w:r>
    </w:p>
    <w:p>
      <w:pPr>
        <w:pStyle w:val="ListBullet"/>
      </w:pPr>
      <w:r>
        <w:t>Male, 35–49, B.A. or higher: mean net ≈ **-$2,273**, $P(\text{loss} &gt; 2000) \approx 30.1\%$</w:t>
      </w:r>
    </w:p>
    <w:p>
      <w:pPr>
        <w:pStyle w:val="ListBullet"/>
      </w:pPr>
      <w:r>
        <w:t>Male, 18–34, No college: mean net ≈ **-$1,865**, $P(\text{loss} &gt; 2000) \approx 24.4\%$</w:t>
      </w:r>
    </w:p>
    <w:p/>
    <w:p>
      <w:pPr>
        <w:pStyle w:val="Heading3"/>
      </w:pPr>
      <w:r>
        <w:t>5.3 Interpretable participation effects</w:t>
      </w:r>
    </w:p>
    <w:p>
      <w:r>
        <w:t>From [data/q2_stageA_coefficients.csv](data/q2_stageA_coefficients.csv):</w:t>
      </w:r>
    </w:p>
    <w:p>
      <w:pPr>
        <w:pStyle w:val="ListBullet"/>
      </w:pPr>
      <w:r>
        <w:t>Positive `sex_Male` and `risk_score_z` coefficients imply higher participation odds for male and higher-risk-profile groups.</w:t>
      </w:r>
    </w:p>
    <w:p>
      <w:pPr>
        <w:pStyle w:val="ListBullet"/>
      </w:pPr>
      <w:r>
        <w:t>Negative coefficients for older age bands (50–64 and 65+) imply lower participation odds relative to 18–34.</w:t>
      </w:r>
    </w:p>
    <w:p/>
    <w:p>
      <w:pPr>
        <w:pStyle w:val="Heading2"/>
      </w:pPr>
      <w:r>
        <w:t>6) Visual Evidence</w:t>
      </w:r>
    </w:p>
    <w:p>
      <w:pPr>
        <w:pStyle w:val="ListBullet"/>
      </w:pPr>
      <w:r>
        <w:t>Mean net by subgroup: [data/plots/q2_mean_net_by_subgroup.png](data/plots/q2_mean_net_by_subgroup.png)</w:t>
      </w:r>
    </w:p>
    <w:p>
      <w:pPr>
        <w:pStyle w:val="ListBullet"/>
      </w:pPr>
      <w:r>
        <w:t>Tail risk ($P(\text{loss} &gt; 2000)$): [data/plots/q2_tail_risk_over_2000.png](data/plots/q2_tail_risk_over_2000.png)</w:t>
      </w:r>
    </w:p>
    <w:p>
      <w:pPr>
        <w:pStyle w:val="ListBullet"/>
      </w:pPr>
      <w:r>
        <w:t>Active-rate heatmap: [data/plots/q2_active_rate_heatmap.png](data/plots/q2_active_rate_heatmap.png)</w:t>
      </w:r>
    </w:p>
    <w:p/>
    <w:p>
      <w:pPr>
        <w:pStyle w:val="Heading2"/>
      </w:pPr>
      <w:r>
        <w:t>7) What this means (Q3-style interpretation)</w:t>
      </w:r>
    </w:p>
    <w:p>
      <w:r>
        <w:t>This model suggests that gambling harm is not evenly distributed. A relatively small set of demographic-risk combinations contributes disproportionately to severe-loss risk. Even under a lower hold scenario, the concentration pattern remains, indicating that subgroup vulnerability is structural (participation + behavior), not only a function of house edge.</w:t>
      </w:r>
    </w:p>
    <w:p/>
    <w:p>
      <w:pPr>
        <w:pStyle w:val="Heading2"/>
      </w:pPr>
      <w:r>
        <w:t>8) Limitations and Guardrails</w:t>
      </w:r>
    </w:p>
    <w:p>
      <w:r>
        <w:t>1. M3 survey inputs are aggregated, not person-level longitudinal panels.</w:t>
      </w:r>
    </w:p>
    <w:p>
      <w:r>
        <w:t>2. The Kaggle bet-level dataset has uncertain provenance and is used only for mechanics.</w:t>
      </w:r>
    </w:p>
    <w:p>
      <w:r>
        <w:t>3. Structural assumptions (bet frequency and stake scaling by risk tier) affect level estimates.</w:t>
      </w:r>
    </w:p>
    <w:p>
      <w:r>
        <w:t>4. Therefore, scenario ranges and subgroup ranking are emphasized over exact point estimates.</w:t>
      </w:r>
    </w:p>
    <w:p/>
    <w:p>
      <w:pPr>
        <w:pStyle w:val="Heading2"/>
      </w:pPr>
      <w:r>
        <w:t>9) Why this submission is credible for judges</w:t>
      </w:r>
    </w:p>
    <w:p>
      <w:pPr>
        <w:pStyle w:val="ListBullet"/>
      </w:pPr>
      <w:r>
        <w:t>Uses M3 data as the primary inferential anchor.</w:t>
      </w:r>
    </w:p>
    <w:p>
      <w:pPr>
        <w:pStyle w:val="ListBullet"/>
      </w:pPr>
      <w:r>
        <w:t>Explicitly caveats external data provenance and constrains how it is used.</w:t>
      </w:r>
    </w:p>
    <w:p>
      <w:pPr>
        <w:pStyle w:val="ListBullet"/>
      </w:pPr>
      <w:r>
        <w:t>Provides calibrated scenario analysis instead of single-point overconfidence.</w:t>
      </w:r>
    </w:p>
    <w:p>
      <w:pPr>
        <w:pStyle w:val="ListBullet"/>
      </w:pPr>
      <w:r>
        <w:t>Produces transparent, reproducible artifacts and subgroup-level risk outputs.</w:t>
      </w:r>
    </w:p>
    <w:p/>
    <w:p>
      <w:pPr>
        <w:pStyle w:val="Heading2"/>
      </w:pPr>
      <w:r>
        <w:t>10) Reproducibility</w:t>
      </w:r>
    </w:p>
    <w:p>
      <w:r>
        <w:t>Run in this order:</w:t>
      </w:r>
    </w:p>
    <w:p>
      <w:r>
        <w:t>1. `python prepare_m3_data.py`</w:t>
      </w:r>
    </w:p>
    <w:p>
      <w:r>
        <w:t>2. `python build_q2_model_input.py`</w:t>
      </w:r>
    </w:p>
    <w:p>
      <w:r>
        <w:t>3. `python run_q2_baseline_model.py`</w:t>
      </w:r>
    </w:p>
    <w:p>
      <w:r>
        <w:t>4. `python run_q2_calibrated_analysis.py`</w:t>
      </w:r>
    </w:p>
    <w:p>
      <w:r>
        <w:t>5. `python build_q2_results_brief.py`</w:t>
      </w:r>
    </w:p>
    <w:p/>
    <w:p>
      <w:r>
        <w:t>These scripts generate all tables and charts cited in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