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课题88 全流程（六篇文献 + mentor 概述综合版）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编制日期：2026年09月23日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课题：</w:t>
      </w:r>
      <w:r>
        <w:rPr>
          <w:rFonts w:ascii="Times New Roman" w:hAnsi="Times New Roman" w:eastAsia="宋体"/>
          <w:b/>
          <w:sz w:val="24"/>
        </w:rPr>
        <w:t>Stabilizing Ruthenium through Ru–O–Mn Interfacial Coupling for Acidic Oxygen Evolution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综合来源：五篇指定文献（AEM-5 / CSC-4 / NE-2 / NC-1 / Science-3）+ 导师 09-22 新给的 </w:t>
      </w:r>
      <w:r>
        <w:rPr>
          <w:rFonts w:ascii="Times New Roman" w:hAnsi="Times New Roman" w:eastAsia="宋体"/>
          <w:b/>
          <w:sz w:val="24"/>
        </w:rPr>
        <w:t>Science 2024（Ir(VI)-ado）</w:t>
      </w:r>
      <w:r>
        <w:rPr>
          <w:rFonts w:ascii="Times New Roman" w:hAnsi="Times New Roman" w:eastAsia="宋体"/>
          <w:b w:val="0"/>
          <w:sz w:val="24"/>
        </w:rPr>
        <w:t xml:space="preserve"> + mentor 概述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mentor 的原话：</w:t>
      </w:r>
      <w:r>
        <w:rPr>
          <w:rFonts w:ascii="Times New Roman" w:hAnsi="Times New Roman" w:eastAsia="宋体"/>
          <w:b/>
          <w:sz w:val="24"/>
        </w:rPr>
        <w:t>「我们电沉积一个二氧化锰，然后试着利用它的氧化还原性，稳定一下 Ru；你先把文章读了」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</w:t>
      </w:r>
      <w:r>
        <w:rPr>
          <w:rFonts w:ascii="Times New Roman" w:hAnsi="Times New Roman" w:eastAsia="宋体"/>
          <w:b/>
          <w:sz w:val="24"/>
        </w:rPr>
        <w:t>R0</w:t>
      </w:r>
      <w:r>
        <w:rPr>
          <w:rFonts w:ascii="Times New Roman" w:hAnsi="Times New Roman" w:eastAsia="宋体"/>
          <w:b w:val="0"/>
          <w:sz w:val="24"/>
        </w:rPr>
        <w:t xml:space="preserve"> 文献事实（附页码）｜</w:t>
      </w:r>
      <w:r>
        <w:rPr>
          <w:rFonts w:ascii="Times New Roman" w:hAnsi="Times New Roman" w:eastAsia="宋体"/>
          <w:b/>
          <w:sz w:val="24"/>
        </w:rPr>
        <w:t>R1</w:t>
      </w:r>
      <w:r>
        <w:rPr>
          <w:rFonts w:ascii="Times New Roman" w:hAnsi="Times New Roman" w:eastAsia="宋体"/>
          <w:b w:val="0"/>
          <w:sz w:val="24"/>
        </w:rPr>
        <w:t xml:space="preserve"> 外部背景｜</w:t>
      </w:r>
      <w:r>
        <w:rPr>
          <w:rFonts w:ascii="Times New Roman" w:hAnsi="Times New Roman" w:eastAsia="宋体"/>
          <w:b/>
          <w:sz w:val="24"/>
        </w:rPr>
        <w:t>R2</w:t>
      </w:r>
      <w:r>
        <w:rPr>
          <w:rFonts w:ascii="Times New Roman" w:hAnsi="Times New Roman" w:eastAsia="宋体"/>
          <w:b w:val="0"/>
          <w:sz w:val="24"/>
        </w:rPr>
        <w:t xml:space="preserve"> 我的设计与推断（</w:t>
      </w:r>
      <w:r>
        <w:rPr>
          <w:rFonts w:ascii="Times New Roman" w:hAnsi="Times New Roman" w:eastAsia="宋体"/>
          <w:b/>
          <w:sz w:val="24"/>
        </w:rPr>
        <w:t>必须在会上说成 "we plan / we hypothesise"</w:t>
      </w:r>
      <w:r>
        <w:rPr>
          <w:rFonts w:ascii="Times New Roman" w:hAnsi="Times New Roman" w:eastAsia="宋体"/>
          <w:b w:val="0"/>
          <w:sz w:val="24"/>
        </w:rPr>
        <w:t>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时间锚点：</w:t>
      </w:r>
      <w:r>
        <w:rPr>
          <w:rFonts w:ascii="Times New Roman" w:hAnsi="Times New Roman" w:eastAsia="宋体"/>
          <w:b/>
          <w:sz w:val="24"/>
        </w:rPr>
        <w:t>2026-10-08 进实验室 ｜ 2027-01-06 中期 ｜ 2027-04 最终报告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0. 先把 mentor 那句话拆成三步（全流程就是围绕这三步展开）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60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mentor 的话</w:t>
            </w:r>
          </w:p>
        </w:tc>
        <w:tc>
          <w:tcPr>
            <w:tcW w:type="dxa" w:w="322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对应的技术动作</w:t>
            </w:r>
          </w:p>
        </w:tc>
        <w:tc>
          <w:tcPr>
            <w:tcW w:type="dxa" w:w="67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落在哪一阶段</w:t>
            </w:r>
          </w:p>
        </w:tc>
        <w:tc>
          <w:tcPr>
            <w:tcW w:type="dxa" w:w="396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文献依据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「</w:t>
            </w:r>
            <w:r>
              <w:rPr>
                <w:rFonts w:ascii="Times New Roman" w:hAnsi="Times New Roman" w:eastAsia="宋体"/>
                <w:b/>
                <w:sz w:val="24"/>
              </w:rPr>
              <w:t>电沉积一个二氧化锰</w:t>
            </w:r>
            <w:r>
              <w:rPr>
                <w:rFonts w:ascii="Times New Roman" w:hAnsi="Times New Roman" w:eastAsia="宋体"/>
                <w:b w:val="0"/>
                <w:sz w:val="24"/>
              </w:rPr>
              <w:t>」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用电沉积做 MnO₂ 载体，并把沉积条件当</w:t>
            </w:r>
            <w:r>
              <w:rPr>
                <w:rFonts w:ascii="Times New Roman" w:hAnsi="Times New Roman" w:eastAsia="宋体"/>
                <w:b/>
                <w:sz w:val="24"/>
              </w:rPr>
              <w:t>工艺杠杆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（沉积电荷/电流/电位/浴 pH/Ru 引入方式）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阶段 1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Science 2024（MnO₂/PTL 平台，ref 33 = Kong 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>Nat. Catal.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2024）；CSC-4 p.2208（Ti/Ge 掺杂稳定 MnO₂）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「</w:t>
            </w:r>
            <w:r>
              <w:rPr>
                <w:rFonts w:ascii="Times New Roman" w:hAnsi="Times New Roman" w:eastAsia="宋体"/>
                <w:b/>
                <w:sz w:val="24"/>
              </w:rPr>
              <w:t>利用它的氧化还原性</w:t>
            </w:r>
            <w:r>
              <w:rPr>
                <w:rFonts w:ascii="Times New Roman" w:hAnsi="Times New Roman" w:eastAsia="宋体"/>
                <w:b w:val="0"/>
                <w:sz w:val="24"/>
              </w:rPr>
              <w:t>」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① 合成期：用 Mn(III)/Mn(IV) 的氧化力把 Ru </w:t>
            </w:r>
            <w:r>
              <w:rPr>
                <w:rFonts w:ascii="Times New Roman" w:hAnsi="Times New Roman" w:eastAsia="宋体"/>
                <w:b/>
                <w:sz w:val="24"/>
              </w:rPr>
              <w:t>交换进 MnO₂ 晶格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；② 运行期：让 Mn³⁺/Mn⁴⁺ 与表面 –OH </w:t>
            </w:r>
            <w:r>
              <w:rPr>
                <w:rFonts w:ascii="Times New Roman" w:hAnsi="Times New Roman" w:eastAsia="宋体"/>
                <w:b/>
                <w:sz w:val="24"/>
              </w:rPr>
              <w:t>缓冲 Ru 上的氧化电荷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阶段 1（交换）+ 阶段 6（缓冲）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Science 2024 p.666（Mn 3.7→3.4 是氧化剂；Mn(III) 占 25%、Mn(III)/Mn(II)=1.5 V）；Science-3（变价第二金属缓冲氧化电荷）；CSC-4 p.2200（Mn³⁺ eg = 1）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「</w:t>
            </w:r>
            <w:r>
              <w:rPr>
                <w:rFonts w:ascii="Times New Roman" w:hAnsi="Times New Roman" w:eastAsia="宋体"/>
                <w:b/>
                <w:sz w:val="24"/>
              </w:rPr>
              <w:t>稳定一下 Ru</w:t>
            </w:r>
            <w:r>
              <w:rPr>
                <w:rFonts w:ascii="Times New Roman" w:hAnsi="Times New Roman" w:eastAsia="宋体"/>
                <w:b w:val="0"/>
                <w:sz w:val="24"/>
              </w:rPr>
              <w:t>」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把 Ru </w:t>
            </w:r>
            <w:r>
              <w:rPr>
                <w:rFonts w:ascii="Times New Roman" w:hAnsi="Times New Roman" w:eastAsia="宋体"/>
                <w:b/>
                <w:sz w:val="24"/>
              </w:rPr>
              <w:t>按在 +4 附近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、不产生氧空位 → 目标走 </w:t>
            </w:r>
            <w:r>
              <w:rPr>
                <w:rFonts w:ascii="Times New Roman" w:hAnsi="Times New Roman" w:eastAsia="宋体"/>
                <w:b/>
                <w:sz w:val="24"/>
              </w:rPr>
              <w:t>OPM 而非 LOM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，并产出</w:t>
            </w:r>
            <w:r>
              <w:rPr>
                <w:rFonts w:ascii="Times New Roman" w:hAnsi="Times New Roman" w:eastAsia="宋体"/>
                <w:b/>
                <w:sz w:val="24"/>
              </w:rPr>
              <w:t>溶解类指标</w:t>
            </w:r>
            <w:r>
              <w:rPr>
                <w:rFonts w:ascii="Times New Roman" w:hAnsi="Times New Roman" w:eastAsia="宋体"/>
                <w:b w:val="0"/>
                <w:sz w:val="24"/>
              </w:rPr>
              <w:t>证明它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阶段 4–7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AEM-5 §6 p.15（Ru 失效 = RuO₄ + LOM；Ru/α-MnO₂ 先例走 OPM、无 VO、161 mV、&gt;200 h）；CSC-4 p.2202（O p 带中心权衡）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全流程一图（九个阶段 + 三道决策门）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Consolas"/>
          <w:sz w:val="18"/>
        </w:rPr>
        <w:t>阶段0 基线校准 ──▶ 阶段1 合成（工艺杠杆） ──▶ 阶段2 活化（重构）</w:t>
        <w:br/>
        <w:t xml:space="preserve">                                                   │</w:t>
        <w:br/>
        <w:t xml:space="preserve">                         ┌─────────────────────────┘</w:t>
        <w:br/>
        <w:t xml:space="preserve">                         ▼</w:t>
        <w:br/>
        <w:t xml:space="preserve">                阶段3 结构/价态确认（配对表征 + operando XAS）</w:t>
        <w:br/>
        <w:t xml:space="preserve">                         │</w:t>
        <w:br/>
        <w:t xml:space="preserve">                         ▼</w:t>
        <w:br/>
        <w:t xml:space="preserve">        ★ 决策门 A：go / no-go（第 2–3 周）★</w:t>
        <w:br/>
        <w:t xml:space="preserve">        ├─ Mn 先溶且抑制不住 ──▶ 改道：换相 / 改氧配位 / 先掺 Ru（回阶段1）</w:t>
        <w:br/>
        <w:t xml:space="preserve">        └─ 通过 ──▶ 阶段4 路线验证（OPM / AEM / LOM）</w:t>
        <w:br/>
        <w:t xml:space="preserve">                         │</w:t>
        <w:br/>
        <w:t xml:space="preserve">                 ★ 决策门 B：路线判定 ★</w:t>
        <w:br/>
        <w:t xml:space="preserve">                 ├─ LOM 主导（有 ¹⁸O 参与 + Ru 溶）──▶ 加强耦合（回阶段1）</w:t>
        <w:br/>
        <w:t xml:space="preserve">                 └─ OPM / 无 VO ──▶ 阶段5 参数扫描找最优耦合</w:t>
        <w:br/>
        <w:t xml:space="preserve">                         │</w:t>
        <w:br/>
        <w:t xml:space="preserve">                         ▼</w:t>
        <w:br/>
        <w:t xml:space="preserve">                阶段6 长时稳定性 + 溶解学（S-number）</w:t>
        <w:br/>
        <w:t xml:space="preserve">                         │</w:t>
        <w:br/>
        <w:t xml:space="preserve">                         ▼</w:t>
        <w:br/>
        <w:t xml:space="preserve">                阶段7 单电池器件验证</w:t>
        <w:br/>
        <w:t xml:space="preserve">                         │</w:t>
        <w:br/>
        <w:t xml:space="preserve">                         ▼</w:t>
        <w:br/>
        <w:t xml:space="preserve">                阶段8 数据 → 结论 → 论文/毕设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逐阶段细化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0 · 基线校准（进实验室前 1 周 + 第 1 周）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要准备的四件事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拿到电沉积方法学</w:t>
      </w:r>
      <w:r>
        <w:rPr>
          <w:rFonts w:ascii="Times New Roman" w:hAnsi="Times New Roman" w:eastAsia="宋体"/>
          <w:b w:val="0"/>
          <w:sz w:val="24"/>
        </w:rPr>
        <w:t xml:space="preserve">：要 </w:t>
      </w:r>
      <w:r>
        <w:rPr>
          <w:rFonts w:ascii="Times New Roman" w:hAnsi="Times New Roman" w:eastAsia="宋体"/>
          <w:b/>
          <w:sz w:val="24"/>
        </w:rPr>
        <w:t xml:space="preserve">ref 33 = Kong S. et al. </w:t>
      </w:r>
      <w:r>
        <w:rPr>
          <w:rFonts w:ascii="Times New Roman" w:hAnsi="Times New Roman" w:eastAsia="宋体"/>
          <w:b/>
          <w:i/>
          <w:sz w:val="24"/>
        </w:rPr>
        <w:t>Nat. Catal.</w:t>
      </w:r>
      <w:r>
        <w:rPr>
          <w:rFonts w:ascii="Times New Roman" w:hAnsi="Times New Roman" w:eastAsia="宋体"/>
          <w:b/>
          <w:sz w:val="24"/>
        </w:rPr>
        <w:t xml:space="preserve"> 2024, </w:t>
      </w:r>
      <w:r>
        <w:rPr>
          <w:rFonts w:ascii="Times New Roman" w:hAnsi="Times New Roman" w:eastAsia="宋体"/>
          <w:b/>
          <w:i/>
          <w:sz w:val="24"/>
        </w:rPr>
        <w:t>7</w:t>
      </w:r>
      <w:r>
        <w:rPr>
          <w:rFonts w:ascii="Times New Roman" w:hAnsi="Times New Roman" w:eastAsia="宋体"/>
          <w:b/>
          <w:sz w:val="24"/>
        </w:rPr>
        <w:t>, 252–261</w:t>
      </w:r>
      <w:r>
        <w:rPr>
          <w:rFonts w:ascii="Times New Roman" w:hAnsi="Times New Roman" w:eastAsia="宋体"/>
          <w:b w:val="0"/>
          <w:sz w:val="24"/>
        </w:rPr>
        <w:t>（Science 2024 的 MnO₂/PTL 平台来源）→ 照抄沉积配方。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建立基线样品（三个）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Consolas"/>
          <w:sz w:val="24"/>
          <w:shd w:fill="F0F0F0"/>
        </w:rPr>
        <w:t>MnO₂ only</w:t>
      </w:r>
      <w:r>
        <w:rPr>
          <w:rFonts w:ascii="Times New Roman" w:hAnsi="Times New Roman" w:eastAsia="宋体"/>
          <w:b w:val="0"/>
          <w:sz w:val="24"/>
        </w:rPr>
        <w:t>（载体自己）、</w:t>
      </w:r>
      <w:r>
        <w:rPr>
          <w:rFonts w:ascii="Consolas" w:hAnsi="Consolas" w:eastAsia="Consolas"/>
          <w:sz w:val="24"/>
          <w:shd w:fill="F0F0F0"/>
        </w:rPr>
        <w:t>RuO₂</w:t>
      </w:r>
      <w:r>
        <w:rPr>
          <w:rFonts w:ascii="Times New Roman" w:hAnsi="Times New Roman" w:eastAsia="宋体"/>
          <w:b w:val="0"/>
          <w:sz w:val="24"/>
        </w:rPr>
        <w:t>（参照物，商业或自制）、</w:t>
      </w:r>
      <w:r>
        <w:rPr>
          <w:rFonts w:ascii="Consolas" w:hAnsi="Consolas" w:eastAsia="Consolas"/>
          <w:sz w:val="24"/>
          <w:shd w:fill="F0F0F0"/>
        </w:rPr>
        <w:t>空白基底</w:t>
      </w:r>
      <w:r>
        <w:rPr>
          <w:rFonts w:ascii="Times New Roman" w:hAnsi="Times New Roman" w:eastAsia="宋体"/>
          <w:b w:val="0"/>
          <w:sz w:val="24"/>
        </w:rPr>
        <w:t>（Ti felt / 碳纸）。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固定测试条件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0.5–1 M H₂SO₄（pH 0）</w:t>
      </w:r>
      <w:r>
        <w:rPr>
          <w:rFonts w:ascii="Times New Roman" w:hAnsi="Times New Roman" w:eastAsia="宋体"/>
          <w:b w:val="0"/>
          <w:sz w:val="24"/>
        </w:rPr>
        <w:t xml:space="preserve">，室温起步；器件阶段再上 </w:t>
      </w:r>
      <w:r>
        <w:rPr>
          <w:rFonts w:ascii="Times New Roman" w:hAnsi="Times New Roman" w:eastAsia="宋体"/>
          <w:b/>
          <w:sz w:val="24"/>
        </w:rPr>
        <w:t>60–80 °C</w:t>
      </w:r>
      <w:r>
        <w:rPr>
          <w:rFonts w:ascii="Times New Roman" w:hAnsi="Times New Roman" w:eastAsia="宋体"/>
          <w:b w:val="0"/>
          <w:sz w:val="24"/>
        </w:rPr>
        <w:t>。三电极 + iR 校正 + 电解液体积/取样流程标准化（为后面 ICP-MS 定量服务）。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打通两台仪器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ICP-MS</w:t>
      </w:r>
      <w:r>
        <w:rPr>
          <w:rFonts w:ascii="Times New Roman" w:hAnsi="Times New Roman" w:eastAsia="宋体"/>
          <w:b w:val="0"/>
          <w:sz w:val="24"/>
        </w:rPr>
        <w:t xml:space="preserve">（分段溶出定量）与 </w:t>
      </w:r>
      <w:r>
        <w:rPr>
          <w:rFonts w:ascii="Times New Roman" w:hAnsi="Times New Roman" w:eastAsia="宋体"/>
          <w:b/>
          <w:sz w:val="24"/>
        </w:rPr>
        <w:t>Raman</w:t>
      </w:r>
      <w:r>
        <w:rPr>
          <w:rFonts w:ascii="Times New Roman" w:hAnsi="Times New Roman" w:eastAsia="宋体"/>
          <w:b w:val="0"/>
          <w:sz w:val="24"/>
        </w:rPr>
        <w:t xml:space="preserve">（高锰酸根 839 cm⁻¹）的送样/机时流程；确认 </w:t>
      </w:r>
      <w:r>
        <w:rPr>
          <w:rFonts w:ascii="Times New Roman" w:hAnsi="Times New Roman" w:eastAsia="宋体"/>
          <w:b/>
          <w:sz w:val="24"/>
        </w:rPr>
        <w:t>¹⁸O + DEMS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/>
          <w:sz w:val="24"/>
        </w:rPr>
        <w:t>operando XAS</w:t>
      </w:r>
      <w:r>
        <w:rPr>
          <w:rFonts w:ascii="Times New Roman" w:hAnsi="Times New Roman" w:eastAsia="宋体"/>
          <w:b w:val="0"/>
          <w:sz w:val="24"/>
        </w:rPr>
        <w:t xml:space="preserve"> 是否能做（</w:t>
      </w:r>
      <w:r>
        <w:rPr>
          <w:rFonts w:ascii="Times New Roman" w:hAnsi="Times New Roman" w:eastAsia="宋体"/>
          <w:b/>
          <w:sz w:val="24"/>
        </w:rPr>
        <w:t>这两项要早问早排，同步辐射机时通常要提前 1 个季度申请</w:t>
      </w:r>
      <w:r>
        <w:rPr>
          <w:rFonts w:ascii="Times New Roman" w:hAnsi="Times New Roman" w:eastAsia="宋体"/>
          <w:b w:val="0"/>
          <w:sz w:val="24"/>
        </w:rPr>
        <w:t>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产出</w:t>
      </w:r>
      <w:r>
        <w:rPr>
          <w:rFonts w:ascii="Times New Roman" w:hAnsi="Times New Roman" w:eastAsia="宋体"/>
          <w:b w:val="0"/>
          <w:sz w:val="24"/>
        </w:rPr>
        <w:t xml:space="preserve">：三个基线样品的 η10 / Tafel / ECSA / 溶出速率 —— </w:t>
      </w:r>
      <w:r>
        <w:rPr>
          <w:rFonts w:ascii="Times New Roman" w:hAnsi="Times New Roman" w:eastAsia="宋体"/>
          <w:b/>
          <w:sz w:val="24"/>
        </w:rPr>
        <w:t>后面所有改进都要跟它们比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1 · 合成：把界面变成"可调的工艺变量"（第 1–4 周，主线）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① 基底</w:t>
      </w:r>
      <w:r>
        <w:rPr>
          <w:rFonts w:ascii="Times New Roman" w:hAnsi="Times New Roman" w:eastAsia="宋体"/>
          <w:b w:val="0"/>
          <w:sz w:val="24"/>
        </w:rPr>
        <w:t xml:space="preserve">：Ti felt 或碳纸（防腐蚀）；若条件允许，用 </w:t>
      </w:r>
      <w:r>
        <w:rPr>
          <w:rFonts w:ascii="Times New Roman" w:hAnsi="Times New Roman" w:eastAsia="宋体"/>
          <w:b/>
          <w:sz w:val="24"/>
        </w:rPr>
        <w:t>Pt 包覆 Ti 网/烧结钛粉</w:t>
      </w:r>
      <w:r>
        <w:rPr>
          <w:rFonts w:ascii="Times New Roman" w:hAnsi="Times New Roman" w:eastAsia="宋体"/>
          <w:b w:val="0"/>
          <w:sz w:val="24"/>
        </w:rPr>
        <w:t>（Science 2024 的平台，能压住基底自身的腐蚀干扰）。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② MnO₂ 电沉积（主变量）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01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变量</w:t>
            </w:r>
          </w:p>
        </w:tc>
        <w:tc>
          <w:tcPr>
            <w:tcW w:type="dxa" w:w="182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建议范围</w:t>
            </w:r>
          </w:p>
        </w:tc>
        <w:tc>
          <w:tcPr>
            <w:tcW w:type="dxa" w:w="562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为什么是它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沉积电荷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0.5–10 mC cm⁻²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直接决定 MnO₂ 载量与边缘位密度；也改变 Mn 平均价与 </w:t>
            </w:r>
            <w:r>
              <w:rPr>
                <w:rFonts w:ascii="Times New Roman" w:hAnsi="Times New Roman" w:eastAsia="宋体"/>
                <w:b/>
                <w:sz w:val="24"/>
              </w:rPr>
              <w:t>Mn(III) 占比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电流 / 电位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恒流 vs 恒压两档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影响形貌与结晶度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浴 pH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酸性/中性各一档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决定 Mn 的沉积路径与 Mn(III)/Mn(IV) 比例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掺杂（可选）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Ti / Ge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CSC-4 p.2208：掺杂可稳定 MnO₂ 反应终止态、增加配位不饱和位点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③ Ru 引入：三条路线 + 一个关键对照（这是 Route A/B 的实验化）</w:t>
      </w:r>
    </w:p>
    <w:p/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135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路线</w:t>
            </w:r>
          </w:p>
        </w:tc>
        <w:tc>
          <w:tcPr>
            <w:tcW w:type="dxa" w:w="294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做法</w:t>
            </w:r>
          </w:p>
        </w:tc>
        <w:tc>
          <w:tcPr>
            <w:tcW w:type="dxa" w:w="38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预期耦合强度</w:t>
            </w:r>
          </w:p>
        </w:tc>
        <w:tc>
          <w:tcPr>
            <w:tcW w:type="dxa" w:w="378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角色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(a) 共沉积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盐与 Mn 盐同时电沉积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中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工艺最快，但耦合构型不可控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(b) 浸渍 impregnation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先沉积 MnO₂，再浸 Ru 盐吸附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弱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必须做</w:t>
            </w:r>
            <w:r>
              <w:rPr>
                <w:rFonts w:ascii="Times New Roman" w:hAnsi="Times New Roman" w:eastAsia="宋体"/>
                <w:b w:val="0"/>
                <w:sz w:val="24"/>
              </w:rPr>
              <w:t>：这是"耦合是否起作用"的对照组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(c) 阳离子交换 cation exchange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先沉积 MnO₂，再在 Ru 盐溶液中利用 </w:t>
            </w:r>
            <w:r>
              <w:rPr>
                <w:rFonts w:ascii="Times New Roman" w:hAnsi="Times New Roman" w:eastAsia="宋体"/>
                <w:b/>
                <w:sz w:val="24"/>
              </w:rPr>
              <w:t>Mn(III)/Mn(IV) 的氧化还原性</w:t>
            </w:r>
            <w:r>
              <w:rPr>
                <w:rFonts w:ascii="Times New Roman" w:hAnsi="Times New Roman" w:eastAsia="宋体"/>
                <w:b w:val="0"/>
                <w:sz w:val="24"/>
              </w:rPr>
              <w:t>把 Ru 交换进晶格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强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最接近 mentor 那句话</w:t>
            </w:r>
            <w:r>
              <w:rPr>
                <w:rFonts w:ascii="Times New Roman" w:hAnsi="Times New Roman" w:eastAsia="宋体"/>
                <w:b w:val="0"/>
                <w:sz w:val="24"/>
              </w:rPr>
              <w:t>；Science 2024（Ir 取代 Mn 位）与 AEM-5 §6（Ru/α-MnO₂ 阳离子交换先例）都走这条路</w:t>
            </w:r>
          </w:p>
        </w:tc>
      </w:tr>
    </w:tbl>
    <w:p/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判据预告</w:t>
      </w:r>
      <w:r>
        <w:rPr>
          <w:rFonts w:ascii="Times New Roman" w:hAnsi="Times New Roman" w:eastAsia="宋体"/>
          <w:b w:val="0"/>
          <w:sz w:val="24"/>
        </w:rPr>
        <w:t>：如果 (c) 明显优于 (b)（活性与稳定性都是），就是"</w:t>
      </w:r>
      <w:r>
        <w:rPr>
          <w:rFonts w:ascii="Times New Roman" w:hAnsi="Times New Roman" w:eastAsia="宋体"/>
          <w:b/>
          <w:sz w:val="24"/>
        </w:rPr>
        <w:t>Ru–O–Mn 耦合真的在起作用</w:t>
      </w:r>
      <w:r>
        <w:rPr>
          <w:rFonts w:ascii="Times New Roman" w:hAnsi="Times New Roman" w:eastAsia="宋体"/>
          <w:b w:val="0"/>
          <w:sz w:val="24"/>
        </w:rPr>
        <w:t>"的第一条实验证据；两者一样 → 说明耦合没形成，问题在工艺不在化学。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④ 后处理（可选变量）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450 °C 空气退火</w:t>
      </w:r>
      <w:r>
        <w:rPr>
          <w:rFonts w:ascii="Times New Roman" w:hAnsi="Times New Roman" w:eastAsia="宋体"/>
          <w:b w:val="0"/>
          <w:sz w:val="24"/>
        </w:rPr>
        <w:t>（Science 2024 用它完成 Cl→O 的完全取代、固化 M–O–M′ 键）；需试温度窗口，避免 Ru 物种烧结成大颗粒。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2 · 活化：把"预催化剂"变成"真催化剂"（第 2–5 周，与阶段 1 并行）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核心认知（AEM-5 最重要的一条）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沉积出来的膜不是催化剂</w:t>
      </w:r>
      <w:r>
        <w:rPr>
          <w:rFonts w:ascii="Times New Roman" w:hAnsi="Times New Roman" w:eastAsia="宋体"/>
          <w:b w:val="0"/>
          <w:sz w:val="24"/>
        </w:rPr>
        <w:t>，活化时表面重构为羟基氧化物（MOOH）才是真活性相。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活化协议本身就是变量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CV → 完全氧化；CP → 部分氧化</w:t>
      </w:r>
      <w:r>
        <w:rPr>
          <w:rFonts w:ascii="Times New Roman" w:hAnsi="Times New Roman" w:eastAsia="宋体"/>
          <w:b w:val="0"/>
          <w:sz w:val="24"/>
        </w:rPr>
        <w:t>；</w:t>
      </w:r>
      <w:r>
        <w:rPr>
          <w:rFonts w:ascii="Times New Roman" w:hAnsi="Times New Roman" w:eastAsia="宋体"/>
          <w:b/>
          <w:sz w:val="24"/>
        </w:rPr>
        <w:t>完全重构可能需要 ≥8 h</w:t>
      </w:r>
      <w:r>
        <w:rPr>
          <w:rFonts w:ascii="Times New Roman" w:hAnsi="Times New Roman" w:eastAsia="宋体"/>
          <w:b w:val="0"/>
          <w:sz w:val="24"/>
        </w:rPr>
        <w:t>（AEM-5 p.6）。→ 全课题</w:t>
      </w:r>
      <w:r>
        <w:rPr>
          <w:rFonts w:ascii="Times New Roman" w:hAnsi="Times New Roman" w:eastAsia="宋体"/>
          <w:b/>
          <w:sz w:val="24"/>
        </w:rPr>
        <w:t>固定一套活化协议</w:t>
      </w:r>
      <w:r>
        <w:rPr>
          <w:rFonts w:ascii="Times New Roman" w:hAnsi="Times New Roman" w:eastAsia="宋体"/>
          <w:b w:val="0"/>
          <w:sz w:val="24"/>
        </w:rPr>
        <w:t>用于横向比较，另设一组专门研究协议差异。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纪律</w:t>
      </w:r>
      <w:r>
        <w:rPr>
          <w:rFonts w:ascii="Times New Roman" w:hAnsi="Times New Roman" w:eastAsia="宋体"/>
          <w:b w:val="0"/>
          <w:sz w:val="24"/>
        </w:rPr>
        <w:t>：此后</w:t>
      </w:r>
      <w:r>
        <w:rPr>
          <w:rFonts w:ascii="Times New Roman" w:hAnsi="Times New Roman" w:eastAsia="宋体"/>
          <w:b/>
          <w:sz w:val="24"/>
        </w:rPr>
        <w:t>所有表征都做"活化前 / 活化后"配对</w:t>
      </w:r>
      <w:r>
        <w:rPr>
          <w:rFonts w:ascii="Times New Roman" w:hAnsi="Times New Roman" w:eastAsia="宋体"/>
          <w:b w:val="0"/>
          <w:sz w:val="24"/>
        </w:rPr>
        <w:t>——配对才能说明"什么变了"。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3 · 结构/价态确认：把先例的判据搬过来（第 3–6 周）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78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手段</w:t>
            </w:r>
          </w:p>
        </w:tc>
        <w:tc>
          <w:tcPr>
            <w:tcW w:type="dxa" w:w="173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看什么</w:t>
            </w:r>
          </w:p>
        </w:tc>
        <w:tc>
          <w:tcPr>
            <w:tcW w:type="dxa" w:w="494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判读标准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配对 XRD / Raman / XPS / HRTEM-EDS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物相、Mn 物种、表面价态、元素分布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活化前后差异 = 重构程度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operando XAS（Ru K 边 + Mn K 边）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是否出现 Ru–O–Mn、Ru–O–Ru 是否减弱/消失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Science 2024 的逻辑：新峰 </w:t>
            </w:r>
            <w:r>
              <w:rPr>
                <w:rFonts w:ascii="Times New Roman" w:hAnsi="Times New Roman" w:eastAsia="宋体"/>
                <w:b/>
                <w:sz w:val="24"/>
              </w:rPr>
              <w:t>M–O–Mn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（Ir–O–Mn 2.92 Å）出现、且 M–Mn 距离接近 MnO₂ 的 Mn–Mn（2.88 Å）→ </w:t>
            </w:r>
            <w:r>
              <w:rPr>
                <w:rFonts w:ascii="Times New Roman" w:hAnsi="Times New Roman" w:eastAsia="宋体"/>
                <w:b/>
                <w:sz w:val="24"/>
              </w:rPr>
              <w:t>贵金属取代进晶格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Mn 平均价定量</w:t>
            </w:r>
            <w:r>
              <w:rPr>
                <w:rFonts w:ascii="Times New Roman" w:hAnsi="Times New Roman" w:eastAsia="宋体"/>
                <w:b w:val="0"/>
                <w:sz w:val="24"/>
              </w:rPr>
              <w:t>（Mn K 边边位 / Mn 3s XPS）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Mn(III) 占比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Science 2024：平均价 3.7 = 0.75×4 + 0.25×3 ⇒ </w:t>
            </w:r>
            <w:r>
              <w:rPr>
                <w:rFonts w:ascii="Times New Roman" w:hAnsi="Times New Roman" w:eastAsia="宋体"/>
                <w:b/>
                <w:sz w:val="24"/>
              </w:rPr>
              <w:t>Mn(III) ≈ 25%</w:t>
            </w:r>
            <w:r>
              <w:rPr>
                <w:rFonts w:ascii="Times New Roman" w:hAnsi="Times New Roman" w:eastAsia="宋体"/>
                <w:b w:val="0"/>
                <w:sz w:val="24"/>
              </w:rPr>
              <w:t>——把"红ox 能力"变成可测量的中间变量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EPR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氧空位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氧空位越少越好（LOM 的指纹）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Ru 价态</w:t>
            </w:r>
            <w:r>
              <w:rPr>
                <w:rFonts w:ascii="Times New Roman" w:hAnsi="Times New Roman" w:eastAsia="宋体"/>
                <w:b w:val="0"/>
                <w:sz w:val="24"/>
              </w:rPr>
              <w:t>（Ru K 边 XANES，随电位）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是否</w:t>
            </w:r>
            <w:r>
              <w:rPr>
                <w:rFonts w:ascii="Times New Roman" w:hAnsi="Times New Roman" w:eastAsia="宋体"/>
                <w:b/>
                <w:sz w:val="24"/>
              </w:rPr>
              <w:t>稳在 +4 附近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被推到 +6 以上 → RuO₄ 风险（Science 2024 证明 Mn(III) 有 1.5 V 的推力）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4 · ★决策门 A：go / no-go（第 2–3 周优先执行）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（与阶段 2/3 部分并行，因为它只回答一个问题：</w:t>
      </w:r>
      <w:r>
        <w:rPr>
          <w:rFonts w:ascii="Times New Roman" w:hAnsi="Times New Roman" w:eastAsia="宋体"/>
          <w:b/>
          <w:sz w:val="24"/>
        </w:rPr>
        <w:t>谁先走、在哪个电位</w:t>
      </w:r>
      <w:r>
        <w:rPr>
          <w:rFonts w:ascii="Times New Roman" w:hAnsi="Times New Roman" w:eastAsia="宋体"/>
          <w:b w:val="0"/>
          <w:sz w:val="24"/>
        </w:rPr>
        <w:t>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四件事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电位阶跃溶出扫描 1.40 → 1.90 V vs RHE</w:t>
      </w:r>
      <w:r>
        <w:rPr>
          <w:rFonts w:ascii="Times New Roman" w:hAnsi="Times New Roman" w:eastAsia="宋体"/>
          <w:b w:val="0"/>
          <w:sz w:val="24"/>
        </w:rPr>
        <w:t>（固定步长，每段单独收集电解液）；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分段 ICP-MS：Ru 与 Mn 分开测</w:t>
      </w:r>
      <w:r>
        <w:rPr>
          <w:rFonts w:ascii="Times New Roman" w:hAnsi="Times New Roman" w:eastAsia="宋体"/>
          <w:b w:val="0"/>
          <w:sz w:val="24"/>
        </w:rPr>
        <w:t>（只测总量分不清"界面失效"还是"涂层脱落"）；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原位 Raman 找 839 cm⁻¹ 高锰酸根带</w:t>
      </w:r>
      <w:r>
        <w:rPr>
          <w:rFonts w:ascii="Times New Roman" w:hAnsi="Times New Roman" w:eastAsia="宋体"/>
          <w:b w:val="0"/>
          <w:sz w:val="24"/>
        </w:rPr>
        <w:t>（溶解的</w:t>
      </w:r>
      <w:r>
        <w:rPr>
          <w:rFonts w:ascii="Times New Roman" w:hAnsi="Times New Roman" w:eastAsia="宋体"/>
          <w:b/>
          <w:sz w:val="24"/>
        </w:rPr>
        <w:t>路径</w:t>
      </w:r>
      <w:r>
        <w:rPr>
          <w:rFonts w:ascii="Times New Roman" w:hAnsi="Times New Roman" w:eastAsia="宋体"/>
          <w:b w:val="0"/>
          <w:sz w:val="24"/>
        </w:rPr>
        <w:t>，不只是结果）；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四个对照</w:t>
      </w:r>
      <w:r>
        <w:rPr>
          <w:rFonts w:ascii="Times New Roman" w:hAnsi="Times New Roman" w:eastAsia="宋体"/>
          <w:b w:val="0"/>
          <w:sz w:val="24"/>
        </w:rPr>
        <w:t xml:space="preserve">：MnO₂ only · RuO₂ · </w:t>
      </w:r>
      <w:r>
        <w:rPr>
          <w:rFonts w:ascii="Times New Roman" w:hAnsi="Times New Roman" w:eastAsia="宋体"/>
          <w:b/>
          <w:sz w:val="24"/>
        </w:rPr>
        <w:t>impregnated</w:t>
      </w:r>
      <w:r>
        <w:rPr>
          <w:rFonts w:ascii="Times New Roman" w:hAnsi="Times New Roman" w:eastAsia="宋体"/>
          <w:b w:val="0"/>
          <w:sz w:val="24"/>
        </w:rPr>
        <w:t xml:space="preserve"> · </w:t>
      </w:r>
      <w:r>
        <w:rPr>
          <w:rFonts w:ascii="Times New Roman" w:hAnsi="Times New Roman" w:eastAsia="宋体"/>
          <w:b/>
          <w:sz w:val="24"/>
        </w:rPr>
        <w:t>substituted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判据（建议口径）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同一电位段内 </w:t>
      </w:r>
      <w:r>
        <w:rPr>
          <w:rFonts w:ascii="Times New Roman" w:hAnsi="Times New Roman" w:eastAsia="宋体"/>
          <w:b/>
          <w:sz w:val="24"/>
        </w:rPr>
        <w:t>Mn 溶解速率 ≥ Ru 的 5 倍</w:t>
      </w:r>
      <w:r>
        <w:rPr>
          <w:rFonts w:ascii="Times New Roman" w:hAnsi="Times New Roman" w:eastAsia="宋体"/>
          <w:b w:val="0"/>
          <w:sz w:val="24"/>
        </w:rPr>
        <w:t>且随电位</w:t>
      </w:r>
      <w:r>
        <w:rPr>
          <w:rFonts w:ascii="Times New Roman" w:hAnsi="Times New Roman" w:eastAsia="宋体"/>
          <w:b/>
          <w:sz w:val="24"/>
        </w:rPr>
        <w:t>无钝化趋势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no-go</w:t>
      </w:r>
      <w:r>
        <w:rPr>
          <w:rFonts w:ascii="Times New Roman" w:hAnsi="Times New Roman" w:eastAsia="宋体"/>
          <w:b w:val="0"/>
          <w:sz w:val="24"/>
        </w:rPr>
        <w:t>；或</w:t>
      </w:r>
      <w:r>
        <w:rPr>
          <w:rFonts w:ascii="Times New Roman" w:hAnsi="Times New Roman" w:eastAsia="宋体"/>
          <w:b/>
          <w:sz w:val="24"/>
        </w:rPr>
        <w:t>出现 839 cm⁻¹ 带</w:t>
      </w:r>
      <w:r>
        <w:rPr>
          <w:rFonts w:ascii="Times New Roman" w:hAnsi="Times New Roman" w:eastAsia="宋体"/>
          <w:b w:val="0"/>
          <w:sz w:val="24"/>
        </w:rPr>
        <w:t xml:space="preserve"> → 直接 no-go；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否则 → </w:t>
      </w:r>
      <w:r>
        <w:rPr>
          <w:rFonts w:ascii="Times New Roman" w:hAnsi="Times New Roman" w:eastAsia="宋体"/>
          <w:b/>
          <w:sz w:val="24"/>
        </w:rPr>
        <w:t>go</w:t>
      </w:r>
      <w:r>
        <w:rPr>
          <w:rFonts w:ascii="Times New Roman" w:hAnsi="Times New Roman" w:eastAsia="宋体"/>
          <w:b w:val="0"/>
          <w:sz w:val="24"/>
        </w:rPr>
        <w:t>，进入阶段 5。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no-go 的三条改道</w:t>
      </w:r>
      <w:r>
        <w:rPr>
          <w:rFonts w:ascii="Times New Roman" w:hAnsi="Times New Roman" w:eastAsia="宋体"/>
          <w:b w:val="0"/>
          <w:sz w:val="24"/>
        </w:rPr>
        <w:t xml:space="preserve">：① 换 MnO₂ 相（α / β / γ / δ，隧道结构与边缘位密度不同，先例是 α）；② 改氧配位（掺杂提高氧空位形成能，思路同 AEM-5 的 W/Er 掺杂）；③ </w:t>
      </w:r>
      <w:r>
        <w:rPr>
          <w:rFonts w:ascii="Times New Roman" w:hAnsi="Times New Roman" w:eastAsia="宋体"/>
          <w:b/>
          <w:sz w:val="24"/>
        </w:rPr>
        <w:t>先掺 Ru 再长 MnO₂</w:t>
      </w:r>
      <w:r>
        <w:rPr>
          <w:rFonts w:ascii="Times New Roman" w:hAnsi="Times New Roman" w:eastAsia="宋体"/>
          <w:b w:val="0"/>
          <w:sz w:val="24"/>
        </w:rPr>
        <w:t>（让 Mn 的生长受已有 Ru 位点约束）。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5 · ★决策门 B：路线验证（第 4–10 周）—— 到底是 OPM / AEM / LOM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40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要回答</w:t>
            </w:r>
          </w:p>
        </w:tc>
        <w:tc>
          <w:tcPr>
            <w:tcW w:type="dxa" w:w="517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方法</w:t>
            </w:r>
          </w:p>
        </w:tc>
        <w:tc>
          <w:tcPr>
            <w:tcW w:type="dxa" w:w="188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判读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有没有</w:t>
            </w:r>
            <w:r>
              <w:rPr>
                <w:rFonts w:ascii="Times New Roman" w:hAnsi="Times New Roman" w:eastAsia="宋体"/>
                <w:b/>
                <w:sz w:val="24"/>
              </w:rPr>
              <w:t>晶格氧参与</w:t>
            </w:r>
            <w:r>
              <w:rPr>
                <w:rFonts w:ascii="Times New Roman" w:hAnsi="Times New Roman" w:eastAsia="宋体"/>
                <w:b w:val="0"/>
                <w:sz w:val="24"/>
              </w:rPr>
              <w:t>（LOM？）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¹⁸O 同位素标记 + DEMS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析出 O₂ 含晶格 ¹⁸O → LOM（危险信号）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是不是 </w:t>
            </w:r>
            <w:r>
              <w:rPr>
                <w:rFonts w:ascii="Times New Roman" w:hAnsi="Times New Roman" w:eastAsia="宋体"/>
                <w:b/>
                <w:sz w:val="24"/>
              </w:rPr>
              <w:t>OPM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原位拉曼 / ATR-SEIRAS 探中间体（应只有 ∗O / ∗OH，</w:t>
            </w:r>
            <w:r>
              <w:rPr>
                <w:rFonts w:ascii="Times New Roman" w:hAnsi="Times New Roman" w:eastAsia="宋体"/>
                <w:b/>
                <w:sz w:val="24"/>
              </w:rPr>
              <w:t>不应有 ∗OOH</w:t>
            </w:r>
            <w:r>
              <w:rPr>
                <w:rFonts w:ascii="Times New Roman" w:hAnsi="Times New Roman" w:eastAsia="宋体"/>
                <w:b w:val="0"/>
                <w:sz w:val="24"/>
              </w:rPr>
              <w:t>）+ EPR/预边看</w:t>
            </w:r>
            <w:r>
              <w:rPr>
                <w:rFonts w:ascii="Times New Roman" w:hAnsi="Times New Roman" w:eastAsia="宋体"/>
                <w:b/>
                <w:sz w:val="24"/>
              </w:rPr>
              <w:t>是否生成氧空位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无 ∗OOH、无 VO → </w:t>
            </w:r>
            <w:r>
              <w:rPr>
                <w:rFonts w:ascii="Times New Roman" w:hAnsi="Times New Roman" w:eastAsia="宋体"/>
                <w:b/>
                <w:sz w:val="24"/>
              </w:rPr>
              <w:t>OPM 成立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有没有被推高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K 边 XANES 随电位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稳在 </w:t>
            </w:r>
            <w:r>
              <w:rPr>
                <w:rFonts w:ascii="Times New Roman" w:hAnsi="Times New Roman" w:eastAsia="宋体"/>
                <w:b/>
                <w:sz w:val="24"/>
              </w:rPr>
              <w:t>+4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✅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谁先溶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分段 ICP-MS + S-number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见决策门 A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判定结果的三条出路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无 ¹⁸O + 无 VO + Ru 稳在 +4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OPM 成立</w:t>
      </w:r>
      <w:r>
        <w:rPr>
          <w:rFonts w:ascii="Times New Roman" w:hAnsi="Times New Roman" w:eastAsia="宋体"/>
          <w:b w:val="0"/>
          <w:sz w:val="24"/>
        </w:rPr>
        <w:t>（目标达成）→ 进入阶段 6；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检出 ¹⁸O + Ru 溶解</w:t>
      </w:r>
      <w:r>
        <w:rPr>
          <w:rFonts w:ascii="Times New Roman" w:hAnsi="Times New Roman" w:eastAsia="宋体"/>
          <w:b w:val="0"/>
          <w:sz w:val="24"/>
        </w:rPr>
        <w:t xml:space="preserve"> → </w:t>
      </w:r>
      <w:r>
        <w:rPr>
          <w:rFonts w:ascii="Times New Roman" w:hAnsi="Times New Roman" w:eastAsia="宋体"/>
          <w:b/>
          <w:sz w:val="24"/>
        </w:rPr>
        <w:t>LOM 主导，耦合不够</w:t>
      </w:r>
      <w:r>
        <w:rPr>
          <w:rFonts w:ascii="Times New Roman" w:hAnsi="Times New Roman" w:eastAsia="宋体"/>
          <w:b w:val="0"/>
          <w:sz w:val="24"/>
        </w:rPr>
        <w:t xml:space="preserve"> → 回阶段 1 加强耦合（提高沉积电荷、改引入方式、调 pH）；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AEM 且不溶解 → 安全但活性被 </w:t>
      </w:r>
      <w:r>
        <w:rPr>
          <w:rFonts w:ascii="Times New Roman" w:hAnsi="Times New Roman" w:eastAsia="宋体"/>
          <w:b/>
          <w:sz w:val="24"/>
        </w:rPr>
        <w:t>0.37 V 标度上限</w:t>
      </w:r>
      <w:r>
        <w:rPr>
          <w:rFonts w:ascii="Times New Roman" w:hAnsi="Times New Roman" w:eastAsia="宋体"/>
          <w:b w:val="0"/>
          <w:sz w:val="24"/>
        </w:rPr>
        <w:t>压住（CSC-4 §3.2）→ 需借"质子受体路线"（CSC-4 pp.2203–2204）突破。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6 · 参数扫描与优化：找"够强但不过强"的耦合（第 8–16 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自变量</w:t>
      </w:r>
      <w:r>
        <w:rPr>
          <w:rFonts w:ascii="Times New Roman" w:hAnsi="Times New Roman" w:eastAsia="宋体"/>
          <w:b w:val="0"/>
          <w:sz w:val="24"/>
        </w:rPr>
        <w:t>：沉积电荷（0.5–10 mC cm⁻²）· Ru 引入方式（共沉积/浸渍/交换）· 浴 pH · Ru/Mn 比 · 退火温度。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响应量</w:t>
      </w:r>
      <w:r>
        <w:rPr>
          <w:rFonts w:ascii="Times New Roman" w:hAnsi="Times New Roman" w:eastAsia="宋体"/>
          <w:b w:val="0"/>
          <w:sz w:val="24"/>
        </w:rPr>
        <w:t xml:space="preserve">：η10 · Tafel · 质量/ECSA 归一化活性 · </w:t>
      </w:r>
      <w:r>
        <w:rPr>
          <w:rFonts w:ascii="Times New Roman" w:hAnsi="Times New Roman" w:eastAsia="宋体"/>
          <w:b/>
          <w:sz w:val="24"/>
        </w:rPr>
        <w:t>Mn(III) 占比</w:t>
      </w:r>
      <w:r>
        <w:rPr>
          <w:rFonts w:ascii="Times New Roman" w:hAnsi="Times New Roman" w:eastAsia="宋体"/>
          <w:b w:val="0"/>
          <w:sz w:val="24"/>
        </w:rPr>
        <w:t xml:space="preserve"> · </w:t>
      </w:r>
      <w:r>
        <w:rPr>
          <w:rFonts w:ascii="Times New Roman" w:hAnsi="Times New Roman" w:eastAsia="宋体"/>
          <w:b/>
          <w:sz w:val="24"/>
        </w:rPr>
        <w:t>Ru–O–Mn 配位数（EXAFS）</w:t>
      </w:r>
      <w:r>
        <w:rPr>
          <w:rFonts w:ascii="Times New Roman" w:hAnsi="Times New Roman" w:eastAsia="宋体"/>
          <w:b w:val="0"/>
          <w:sz w:val="24"/>
        </w:rPr>
        <w:t xml:space="preserve"> · </w:t>
      </w:r>
      <w:r>
        <w:rPr>
          <w:rFonts w:ascii="Times New Roman" w:hAnsi="Times New Roman" w:eastAsia="宋体"/>
          <w:b/>
          <w:sz w:val="24"/>
        </w:rPr>
        <w:t>溶出速率</w:t>
      </w:r>
      <w:r>
        <w:rPr>
          <w:rFonts w:ascii="Times New Roman" w:hAnsi="Times New Roman" w:eastAsia="宋体"/>
          <w:b w:val="0"/>
          <w:sz w:val="24"/>
        </w:rPr>
        <w:t xml:space="preserve"> · </w:t>
      </w:r>
      <w:r>
        <w:rPr>
          <w:rFonts w:ascii="Times New Roman" w:hAnsi="Times New Roman" w:eastAsia="宋体"/>
          <w:b/>
          <w:sz w:val="24"/>
        </w:rPr>
        <w:t>S-number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物理目标（R2）</w:t>
      </w:r>
      <w:r>
        <w:rPr>
          <w:rFonts w:ascii="Times New Roman" w:hAnsi="Times New Roman" w:eastAsia="宋体"/>
          <w:b w:val="0"/>
          <w:sz w:val="24"/>
        </w:rPr>
        <w:t>：耦合太弱 → 回到"Ru 自己溶"的老问题；耦合太强 → Ru 被推高或被埋没、活性下降。</w:t>
      </w:r>
      <w:r>
        <w:rPr>
          <w:rFonts w:ascii="Times New Roman" w:hAnsi="Times New Roman" w:eastAsia="宋体"/>
          <w:b/>
          <w:sz w:val="24"/>
        </w:rPr>
        <w:t>最优点应该在中间的某个沉积电荷/交换度上</w:t>
      </w:r>
      <w:r>
        <w:rPr>
          <w:rFonts w:ascii="Times New Roman" w:hAnsi="Times New Roman" w:eastAsia="宋体"/>
          <w:b w:val="0"/>
          <w:sz w:val="24"/>
        </w:rPr>
        <w:t>——这就是本课题的"工艺创新点"。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7 · 长时稳定性与器件（第 12–24 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长时恒电流 + 分段 ICP-MS（Ru + Mn）</w:t>
      </w:r>
      <w:r>
        <w:rPr>
          <w:rFonts w:ascii="Times New Roman" w:hAnsi="Times New Roman" w:eastAsia="宋体"/>
          <w:b w:val="0"/>
          <w:sz w:val="24"/>
        </w:rPr>
        <w:t xml:space="preserve">：产出 </w:t>
      </w:r>
      <w:r>
        <w:rPr>
          <w:rFonts w:ascii="Times New Roman" w:hAnsi="Times New Roman" w:eastAsia="宋体"/>
          <w:b/>
          <w:sz w:val="24"/>
        </w:rPr>
        <w:t>溶解速率（µg cm⁻² h⁻¹）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/>
          <w:sz w:val="24"/>
        </w:rPr>
        <w:t>S-number（每溶一个金属原子析出多少 O₂）</w:t>
      </w:r>
      <w:r>
        <w:rPr>
          <w:rFonts w:ascii="Times New Roman" w:hAnsi="Times New Roman" w:eastAsia="宋体"/>
          <w:b w:val="0"/>
          <w:sz w:val="24"/>
        </w:rPr>
        <w:t>——</w:t>
      </w:r>
      <w:r>
        <w:rPr>
          <w:rFonts w:ascii="Times New Roman" w:hAnsi="Times New Roman" w:eastAsia="宋体"/>
          <w:b/>
          <w:sz w:val="24"/>
        </w:rPr>
        <w:t>这正是六篇里都没有、要我们自己产生的数据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加速老化</w:t>
      </w:r>
      <w:r>
        <w:rPr>
          <w:rFonts w:ascii="Times New Roman" w:hAnsi="Times New Roman" w:eastAsia="宋体"/>
          <w:b w:val="0"/>
          <w:sz w:val="24"/>
        </w:rPr>
        <w:t>：不同电流密度（0.5 / 1 / 2 A cm⁻²）与温度（25 / 60 / 80 °C）分组。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单电池</w:t>
      </w:r>
      <w:r>
        <w:rPr>
          <w:rFonts w:ascii="Times New Roman" w:hAnsi="Times New Roman" w:eastAsia="宋体"/>
          <w:b w:val="0"/>
          <w:sz w:val="24"/>
        </w:rPr>
        <w:t>：Mn–Ru 阳极 + 商业膜（</w:t>
      </w:r>
      <w:r>
        <w:rPr>
          <w:rFonts w:ascii="Times New Roman" w:hAnsi="Times New Roman" w:eastAsia="宋体"/>
          <w:b/>
          <w:sz w:val="24"/>
        </w:rPr>
        <w:t>Nafion 115 / 212</w:t>
      </w:r>
      <w:r>
        <w:rPr>
          <w:rFonts w:ascii="Times New Roman" w:hAnsi="Times New Roman" w:eastAsia="宋体"/>
          <w:b w:val="0"/>
          <w:sz w:val="24"/>
        </w:rPr>
        <w:t>，与 Science 2024 一致）+ 商业阴极。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报数口径（六篇的综合）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376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口径</w:t>
            </w:r>
          </w:p>
        </w:tc>
        <w:tc>
          <w:tcPr>
            <w:tcW w:type="dxa" w:w="469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模板来源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载量（mg_Ru cm⁻²）+ 质量比电流（A g_Ru⁻¹）+ 电流密度 + 时长 + 衰减率（µV h⁻¹）+ </w:t>
            </w:r>
            <w:r>
              <w:rPr>
                <w:rFonts w:ascii="Times New Roman" w:hAnsi="Times New Roman" w:eastAsia="宋体"/>
                <w:b/>
                <w:sz w:val="24"/>
              </w:rPr>
              <w:t>TON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Science 2024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（最贴近"低载量"叙事：0.02/0.04/0.08 mg、84.3/12.4/10.7 µV h⁻¹、TON 1.5×10⁸、2700 h）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电压 @ 电流密度 + 时长 + 衰减率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NC-1（</w:t>
            </w:r>
            <w:r>
              <w:rPr>
                <w:rFonts w:ascii="Times New Roman" w:hAnsi="Times New Roman" w:eastAsia="宋体"/>
                <w:b/>
                <w:sz w:val="24"/>
              </w:rPr>
              <w:t>2.1 V @1.5 A cm⁻²，120 h @0.5 A cm⁻²，&lt;4.9 mV h⁻¹</w:t>
            </w:r>
            <w:r>
              <w:rPr>
                <w:rFonts w:ascii="Times New Roman" w:hAnsi="Times New Roman" w:eastAsia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电压 @ 电流密度 + 温度 + 选择性 + 时长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NE-2（</w:t>
            </w:r>
            <w:r>
              <w:rPr>
                <w:rFonts w:ascii="Times New Roman" w:hAnsi="Times New Roman" w:eastAsia="宋体"/>
                <w:b/>
                <w:sz w:val="24"/>
              </w:rPr>
              <w:t>1.87 V @1.0 A cm⁻² @60 °C，O₂ 选择性 ≈98%，&gt;200 h</w:t>
            </w:r>
            <w:r>
              <w:rPr>
                <w:rFonts w:ascii="Times New Roman" w:hAnsi="Times New Roman" w:eastAsia="宋体"/>
                <w:b w:val="0"/>
                <w:sz w:val="24"/>
              </w:rPr>
              <w:t>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法拉第效率</w:t>
            </w:r>
            <w:r>
              <w:rPr>
                <w:rFonts w:ascii="Times New Roman" w:hAnsi="Times New Roman" w:eastAsia="宋体"/>
                <w:b w:val="0"/>
                <w:sz w:val="24"/>
              </w:rPr>
              <w:t>（100 ± 3% 级）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Science 2024</w:t>
            </w:r>
          </w:p>
        </w:tc>
      </w:tr>
    </w:tbl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对标线</w:t>
      </w:r>
      <w:r>
        <w:rPr>
          <w:rFonts w:ascii="Times New Roman" w:hAnsi="Times New Roman" w:eastAsia="宋体"/>
          <w:b w:val="0"/>
          <w:sz w:val="24"/>
        </w:rPr>
        <w:t>（用来判断"够不够格"）：NC-1 的 120 h / NE-2 的 200 h / Science 2024 的 2700 h 与 TON 10⁸。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阶段 8 · 数据 → 结论（第 20 周起，与阶段 7 重叠）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一条完整的证据链应当是：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"沉积参数 → Mn(III) 占比与界面耦合（EXAFS 有 Ru–O–Mn、无 Ru–O–Ru）→ Ru 稳在 +4、无氧空位 → 无 ¹⁸O 参与（走 OPM 不走 LOM）→ 长时溶出低、S-number 高 → 单电池达标"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这条链路上每一环都有对应的图和数字，毕设/论文的骨架就直接是它。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三张"必须盯住"的对照表（评审最爱问）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58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#</w:t>
            </w:r>
          </w:p>
        </w:tc>
        <w:tc>
          <w:tcPr>
            <w:tcW w:type="dxa" w:w="350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对照</w:t>
            </w:r>
          </w:p>
        </w:tc>
        <w:tc>
          <w:tcPr>
            <w:tcW w:type="dxa" w:w="437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回答什么问题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substituted vs impregnated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界面耦合（Ru 进晶格 vs Ru 躺表面）到底值不值钱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MnO₂ only vs RuO₂ vs Mn–Ru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改进能不能归因到"界面"，而不是任一单一组分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不同沉积电荷/交换度（扫描）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"越强越好"还是"存在最优耦合"→ 本课题的工艺创新点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六篇文献 → 流程各环节的对应（答辩可逐条追溯）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336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环节</w:t>
            </w:r>
          </w:p>
        </w:tc>
        <w:tc>
          <w:tcPr>
            <w:tcW w:type="dxa" w:w="382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我在照谁做</w:t>
            </w:r>
          </w:p>
        </w:tc>
        <w:tc>
          <w:tcPr>
            <w:tcW w:type="dxa" w:w="127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电沉积 MnO₂ 平台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Science 2024（MnO₂/PTL）+ ref 33 Kong </w:t>
            </w:r>
            <w:r>
              <w:rPr>
                <w:rFonts w:ascii="Times New Roman" w:hAnsi="Times New Roman" w:eastAsia="宋体"/>
                <w:b w:val="0"/>
                <w:i/>
                <w:sz w:val="24"/>
              </w:rPr>
              <w:t>Nat. Catal.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2024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 Mn 的氧化还原性把贵金属弄进晶格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Science 2024（Ir 取代 Mn 位、Ir–O–Mn 2.92 Å）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Mn(III) 占比作为可调中间变量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Science 2024（Mn 3.7→3.4；Mn(III) 25%；1.5 V）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p.666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活化协议是变量、真活性相是 MOOH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AEM-5（CV 完全氧化 / CP 部分 / ≥8 h）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§3、p.6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酸性中 Ru 的失效通道（RuO₄ + LOM）与两条稳定化路线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AEM-5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§6, p.15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Ru/α-MnO₂ 先例（OPM、无 VO、161 mV、&gt;200 h）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AEM-5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§6, pp.15–16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标度上限 0.37 V 与质子受体路线（0.26/0.10 V）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CSC-4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§3.2, pp.2203–2204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Mn³⁺ eg = 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CSC-4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§2.2, p.2200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γ-MnO₂ 8000 h @ pH 2 + "必须找电位窗口" + Ti/Ge 掺杂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CSC-4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§4.4, p.2208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O p 带中心权衡（活性 vs 稳定）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CSC-4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§2.2, p.2202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¹⁸O 标记 + DEMS 判 LOM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CSC-4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pp.2205–2206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局部环境是设计变量（局部 pH、RRDE 定量）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NE-2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pp.264–270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器件级报数 + "必须做到器件"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NC-1 / NE-2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全文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保护单元可以是</w:t>
            </w:r>
            <w:r>
              <w:rPr>
                <w:rFonts w:ascii="Times New Roman" w:hAnsi="Times New Roman" w:eastAsia="宋体"/>
                <w:b/>
                <w:sz w:val="24"/>
              </w:rPr>
              <w:t>变价</w:t>
            </w:r>
            <w:r>
              <w:rPr>
                <w:rFonts w:ascii="Times New Roman" w:hAnsi="Times New Roman" w:eastAsia="宋体"/>
                <w:b w:val="0"/>
                <w:sz w:val="24"/>
              </w:rPr>
              <w:t>的（电荷缓冲）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Science-3（POM–MOF）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全文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用溶解类指标（S-number / ICP-MS）证明稳定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六篇都没有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→ </w:t>
            </w:r>
            <w:r>
              <w:rPr>
                <w:rFonts w:ascii="Times New Roman" w:hAnsi="Times New Roman" w:eastAsia="宋体"/>
                <w:b/>
                <w:sz w:val="24"/>
              </w:rPr>
              <w:t>我们自己产出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里程碑与风险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51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时间</w:t>
            </w:r>
          </w:p>
        </w:tc>
        <w:tc>
          <w:tcPr>
            <w:tcW w:type="dxa" w:w="211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目标</w:t>
            </w:r>
          </w:p>
        </w:tc>
        <w:tc>
          <w:tcPr>
            <w:tcW w:type="dxa" w:w="482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交付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2026-10-08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进实验室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基线三样品测完（η10 / Tafel / 溶出）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10 月底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go / no-go 出结论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vs Mn 溶出曲线 + 839 cm⁻¹ 拉曼判读 + 相/工艺决策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11 月底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路线验证（OPM？）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¹⁸O-DEMS / 原位拉曼 / operando XAS 首批数据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12 月底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参数扫描收敛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最优沉积电荷 / 交换度 + EXAFS 界面证据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2027-01-06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中期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数据包 + 中期报告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2027-03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长时 + 器件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200–1000 h 稳定性 + 单电池数据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2027-04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最终报告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完整证据链 + 论文稿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四个真实风险（提前管理）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同步辐射机时</w:t>
      </w:r>
      <w:r>
        <w:rPr>
          <w:rFonts w:ascii="Times New Roman" w:hAnsi="Times New Roman" w:eastAsia="宋体"/>
          <w:b w:val="0"/>
          <w:sz w:val="24"/>
        </w:rPr>
        <w:t xml:space="preserve">（operando XAS / ¹⁸O-DEMS 依赖大装置）→ </w:t>
      </w:r>
      <w:r>
        <w:rPr>
          <w:rFonts w:ascii="Times New Roman" w:hAnsi="Times New Roman" w:eastAsia="宋体"/>
          <w:b/>
          <w:sz w:val="24"/>
        </w:rPr>
        <w:t>10 月前就要和导师确认机时来源与申请窗口</w:t>
      </w:r>
      <w:r>
        <w:rPr>
          <w:rFonts w:ascii="Times New Roman" w:hAnsi="Times New Roman" w:eastAsia="宋体"/>
          <w:b w:val="0"/>
          <w:sz w:val="24"/>
        </w:rPr>
        <w:t>，否则阶段 3/5 会卡住。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Mn 先溶</w:t>
      </w:r>
      <w:r>
        <w:rPr>
          <w:rFonts w:ascii="Times New Roman" w:hAnsi="Times New Roman" w:eastAsia="宋体"/>
          <w:b w:val="0"/>
          <w:sz w:val="24"/>
        </w:rPr>
        <w:t>（最大科学风险）→ 已用 go/no-go 前置，并备好三条改道。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Ru 被推高</w:t>
      </w:r>
      <w:r>
        <w:rPr>
          <w:rFonts w:ascii="Times New Roman" w:hAnsi="Times New Roman" w:eastAsia="宋体"/>
          <w:b w:val="0"/>
          <w:sz w:val="24"/>
        </w:rPr>
        <w:t>（Science 2024 证明 Mn(III) 有 1.5 V 的氧化力）→ 用"Ru 价态随电位"作硬指标。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安全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RuO₄ 易挥发且有强毒性</w:t>
      </w:r>
      <w:r>
        <w:rPr>
          <w:rFonts w:ascii="Times New Roman" w:hAnsi="Times New Roman" w:eastAsia="宋体"/>
          <w:b w:val="0"/>
          <w:sz w:val="24"/>
        </w:rPr>
        <w:t>、Ru 盐与强酸腐蚀 → 通风橱内操作、废液分类、先做安全评估再开电沉积。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一句话版（会上开场可用）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我们用</w:t>
      </w:r>
      <w:r>
        <w:rPr>
          <w:rFonts w:ascii="Times New Roman" w:hAnsi="Times New Roman" w:eastAsia="宋体"/>
          <w:b/>
          <w:sz w:val="24"/>
        </w:rPr>
        <w:t>电沉积</w:t>
      </w:r>
      <w:r>
        <w:rPr>
          <w:rFonts w:ascii="Times New Roman" w:hAnsi="Times New Roman" w:eastAsia="宋体"/>
          <w:b w:val="0"/>
          <w:sz w:val="24"/>
        </w:rPr>
        <w:t>做出 MnO₂ 载体，把沉积条件当成可调工艺；再</w:t>
      </w:r>
      <w:r>
        <w:rPr>
          <w:rFonts w:ascii="Times New Roman" w:hAnsi="Times New Roman" w:eastAsia="宋体"/>
          <w:b/>
          <w:sz w:val="24"/>
        </w:rPr>
        <w:t>利用 Mn(III)/Mn(IV) 的氧化还原性</w:t>
      </w:r>
      <w:r>
        <w:rPr>
          <w:rFonts w:ascii="Times New Roman" w:hAnsi="Times New Roman" w:eastAsia="宋体"/>
          <w:b w:val="0"/>
          <w:sz w:val="24"/>
        </w:rPr>
        <w:t xml:space="preserve">，通过阳离子交换/共沉积让 </w:t>
      </w:r>
      <w:r>
        <w:rPr>
          <w:rFonts w:ascii="Times New Roman" w:hAnsi="Times New Roman" w:eastAsia="宋体"/>
          <w:b/>
          <w:sz w:val="24"/>
        </w:rPr>
        <w:t>Ru 以 Ru–O–Mn 氧桥进入 MnO₂ 晶格</w:t>
      </w:r>
      <w:r>
        <w:rPr>
          <w:rFonts w:ascii="Times New Roman" w:hAnsi="Times New Roman" w:eastAsia="宋体"/>
          <w:b w:val="0"/>
          <w:sz w:val="24"/>
        </w:rPr>
        <w:t xml:space="preserve">；活化重构出真正的活性界面后，先做一个 </w:t>
      </w:r>
      <w:r>
        <w:rPr>
          <w:rFonts w:ascii="Times New Roman" w:hAnsi="Times New Roman" w:eastAsia="宋体"/>
          <w:b/>
          <w:sz w:val="24"/>
        </w:rPr>
        <w:t>go/no-go</w:t>
      </w:r>
      <w:r>
        <w:rPr>
          <w:rFonts w:ascii="Times New Roman" w:hAnsi="Times New Roman" w:eastAsia="宋体"/>
          <w:b w:val="0"/>
          <w:sz w:val="24"/>
        </w:rPr>
        <w:t xml:space="preserve"> 判定"Mn 和 Ru 谁先在酸中溶解"，再验证反应走的是 </w:t>
      </w:r>
      <w:r>
        <w:rPr>
          <w:rFonts w:ascii="Times New Roman" w:hAnsi="Times New Roman" w:eastAsia="宋体"/>
          <w:b/>
          <w:sz w:val="24"/>
        </w:rPr>
        <w:t>OPM（不产氧空位）而不是 LOM（会带走金属）</w:t>
      </w:r>
      <w:r>
        <w:rPr>
          <w:rFonts w:ascii="Times New Roman" w:hAnsi="Times New Roman" w:eastAsia="宋体"/>
          <w:b w:val="0"/>
          <w:sz w:val="24"/>
        </w:rPr>
        <w:t>；最后把界面耦合的密度与构型当作扫描变量优化，并用</w:t>
      </w:r>
      <w:r>
        <w:rPr>
          <w:rFonts w:ascii="Times New Roman" w:hAnsi="Times New Roman" w:eastAsia="宋体"/>
          <w:b/>
          <w:sz w:val="24"/>
        </w:rPr>
        <w:t>溶出速率与 S-number</w:t>
      </w:r>
      <w:r>
        <w:rPr>
          <w:rFonts w:ascii="Times New Roman" w:hAnsi="Times New Roman" w:eastAsia="宋体"/>
          <w:b w:val="0"/>
          <w:sz w:val="24"/>
        </w:rPr>
        <w:t>——文献里没有、由我们自己产生的指标——配合长时电解与单电池来证明稳定性。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英文 30 秒版</w:t>
      </w:r>
    </w:p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i/>
          <w:sz w:val="24"/>
        </w:rPr>
        <w:t>"We electrodeposit MnO₂ as a platform whose deposition parameters we control, and we use manganese's redox chemistry — Mn(III)/Mn(IV) — to bring ruthenium into the MnO₂ lattice through Ru–O–Mn oxygen bridges. After activation, which reconstructs the real active phase, the first decision is a go/no-go: does manganese or ruthenium dissolve first in acid? Then we verify which route operates — we aim for the oxide path mechanism without oxygen vacancies, rather than the lattice-oxygen mechanism that carries the metal away. Finally we scan the coupling density as a process variable and prove stability with dissolution-based metrics — S-number and segmented ICP-MS for Ru and Mn — which the assigned literature does not report."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