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NE-2 阅读指南 —— 直接海水电解：局部反应环境调控（*Nat. Energy* 2023, 8, 264–272）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 xml:space="preserve">元信息：Guo J., …, </w:t>
      </w:r>
      <w:r>
        <w:rPr>
          <w:rFonts w:ascii="Times New Roman" w:hAnsi="Times New Roman" w:eastAsia="宋体"/>
          <w:b/>
          <w:sz w:val="24"/>
        </w:rPr>
        <w:t>Shi-Zhang Qiao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Tao Ling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 w:val="0"/>
          <w:i/>
          <w:sz w:val="24"/>
        </w:rPr>
        <w:t>Direct seawater electrolysis by adjusting the local reaction environment of a catalyst</w:t>
      </w:r>
      <w:r>
        <w:rPr>
          <w:rFonts w:ascii="Times New Roman" w:hAnsi="Times New Roman" w:eastAsia="宋体"/>
          <w:b w:val="0"/>
          <w:sz w:val="24"/>
        </w:rPr>
        <w:t xml:space="preserve"> · </w:t>
      </w:r>
      <w:r>
        <w:rPr>
          <w:rFonts w:ascii="Times New Roman" w:hAnsi="Times New Roman" w:eastAsia="宋体"/>
          <w:b/>
          <w:sz w:val="24"/>
        </w:rPr>
        <w:t>Nat. Energy 2023, 8, 264–272</w:t>
      </w:r>
      <w:r>
        <w:rPr>
          <w:rFonts w:ascii="Times New Roman" w:hAnsi="Times New Roman" w:eastAsia="宋体"/>
          <w:b w:val="0"/>
          <w:sz w:val="24"/>
        </w:rPr>
        <w:t>（9 页）｜DOI 10.1038/s41560-023-01195-x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精读报告：</w:t>
      </w:r>
      <w:r>
        <w:rPr>
          <w:rFonts w:ascii="Consolas" w:hAnsi="Consolas" w:eastAsia="Consolas"/>
          <w:sz w:val="24"/>
          <w:shd w:fill="F0F0F0"/>
        </w:rPr>
        <w:t>文献精读-88-海水电解局部环境NE2023.md</w:t>
      </w:r>
      <w:r>
        <w:rPr>
          <w:rFonts w:ascii="Times New Roman" w:hAnsi="Times New Roman" w:eastAsia="宋体"/>
          <w:b w:val="0"/>
          <w:sz w:val="24"/>
        </w:rPr>
        <w:t>｜</w:t>
      </w:r>
      <w:r>
        <w:rPr>
          <w:rFonts w:ascii="Times New Roman" w:hAnsi="Times New Roman" w:eastAsia="宋体"/>
          <w:b/>
          <w:sz w:val="24"/>
        </w:rPr>
        <w:t>页码规矩：印刷页 = PDF 页 + 263</w:t>
      </w:r>
      <w:r>
        <w:rPr>
          <w:rFonts w:ascii="Times New Roman" w:hAnsi="Times New Roman" w:eastAsia="宋体"/>
          <w:b w:val="0"/>
          <w:sz w:val="24"/>
        </w:rPr>
        <w:t>（PDF p.3 = 印刷 p.266）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状态：待读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📑 文章结构总览（先看这张表再读）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318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章节</w:t>
            </w:r>
          </w:p>
        </w:tc>
        <w:tc>
          <w:tcPr>
            <w:tcW w:type="dxa" w:w="62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印刷页</w:t>
            </w:r>
          </w:p>
        </w:tc>
        <w:tc>
          <w:tcPr>
            <w:tcW w:type="dxa" w:w="464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内容要点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Abstract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p.264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硬 Lewis 酸层 → 原位局部碱性 → 提升两极动力学、避免 Cl⁻ 侵蚀与沉淀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Introduction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pp.264–265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海水电解的两个痛点；提出"硬 Lewis 酸层"策略；Cr³⁺ 为何最硬、Cr₂O₃ 为何电化学惰性稳定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Limitation of seawater electrolysis and proposed strategy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p.265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对照实验：CoOₓ 在碱化海水 100 h 衰减约 47%，自然海水中 50 h 内电流几乎归零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Quantification of catalyst surface's local alkalinity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p.266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⭐ 三电极对比（Cr₂O₃-CoOₓ vs CoOₓ / Fe-NiOOH / RuO₂）；</w:t>
            </w:r>
            <w:r>
              <w:rPr>
                <w:rFonts w:ascii="Times New Roman" w:hAnsi="Times New Roman" w:eastAsia="宋体"/>
                <w:b/>
                <w:sz w:val="24"/>
              </w:rPr>
              <w:t>RRDE 定量界面 pH</w:t>
            </w:r>
            <w:r>
              <w:rPr>
                <w:rFonts w:ascii="Times New Roman" w:hAnsi="Times New Roman" w:eastAsia="宋体"/>
                <w:b w:val="0"/>
                <w:sz w:val="24"/>
              </w:rPr>
              <w:t>；性能数据；</w:t>
            </w:r>
            <w:r>
              <w:rPr>
                <w:rFonts w:ascii="Times New Roman" w:hAnsi="Times New Roman" w:eastAsia="宋体"/>
                <w:b/>
                <w:sz w:val="24"/>
              </w:rPr>
              <w:t>"该策略对 NiOₓ、MnOₓ 同样适用"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Chlorine chemistry inhibition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p.267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XPS 几乎无 Cl 物种；OER 选择性约 98%；表面 OH⁻ 过量近两个数量级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Revealing the origin of local alkalinity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p.267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原位红外：H₂O∗ 谱带随电位向 OH∗ 位移；并提到 ¹⁸O 动力学同位素效应佐证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Origin of enhanced HER activity and stability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p.268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DFT：Cr₂O₃ 水解离能垒 </w:t>
            </w:r>
            <w:r>
              <w:rPr>
                <w:rFonts w:ascii="Times New Roman" w:hAnsi="Times New Roman" w:eastAsia="宋体"/>
                <w:b/>
                <w:sz w:val="24"/>
              </w:rPr>
              <w:t>0.08 eV</w:t>
            </w:r>
            <w:r>
              <w:rPr>
                <w:rFonts w:ascii="Times New Roman" w:hAnsi="Times New Roman" w:eastAsia="宋体"/>
                <w:b w:val="0"/>
                <w:sz w:val="24"/>
              </w:rPr>
              <w:t>；阴极表面 pH 升高促进 HER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Results · Flow-type natural seawater electrolyser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pp.268–269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通液式器件：25 °C/2.33 V → 1.0 A cm⁻²；60 °C/1.87 V → 1.0 A cm⁻²；500 mA cm⁻² &gt;100 h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Conclusions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p.269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总结"局部环境工程"的普适性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Methods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pp.269–271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见下方子节表（含 </w:t>
            </w:r>
            <w:r>
              <w:rPr>
                <w:rFonts w:ascii="Times New Roman" w:hAnsi="Times New Roman" w:eastAsia="宋体"/>
                <w:b/>
                <w:sz w:val="24"/>
              </w:rPr>
              <w:t>界面 pH 测量法</w:t>
            </w:r>
            <w:r>
              <w:rPr>
                <w:rFonts w:ascii="Times New Roman" w:hAnsi="Times New Roman" w:eastAsia="宋体"/>
                <w:b w:val="0"/>
                <w:sz w:val="24"/>
              </w:rPr>
              <w:t>）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Methods 子节（做实验时直接翻这几页）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47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子节</w:t>
            </w:r>
          </w:p>
        </w:tc>
        <w:tc>
          <w:tcPr>
            <w:tcW w:type="dxa" w:w="5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页</w:t>
            </w:r>
          </w:p>
        </w:tc>
        <w:tc>
          <w:tcPr>
            <w:tcW w:type="dxa" w:w="546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用途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Materials synthesis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pp.269–270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CrₓOᵧ-CoOₓ 系列（0.02/0.04/0.10/0.15/0.20 M Cr(NO₃)₃）；</w:t>
            </w:r>
            <w:r>
              <w:rPr>
                <w:rFonts w:ascii="Times New Roman" w:hAnsi="Times New Roman" w:eastAsia="宋体"/>
                <w:b/>
                <w:sz w:val="24"/>
              </w:rPr>
              <w:t>NiOₓ、MnOₓ、Cr₂O₃-NiOₓ、Cr₂O₃-MnOₓ、TiO₂-CoOₓ 同法制备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Materials characterization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XRD/XPS/SEM 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Seawater electrolysis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三电极测试条件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⭐ </w:t>
            </w:r>
            <w:r>
              <w:rPr>
                <w:rFonts w:ascii="Times New Roman" w:hAnsi="Times New Roman" w:eastAsia="宋体"/>
                <w:b/>
                <w:sz w:val="24"/>
              </w:rPr>
              <w:t>Measurement of pH on the catalyst surface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IrO₂ 修饰 RRDE 的界面 pH 定量法（含标定与收集效率 N_D = 0.37）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 situ IR spectroscopy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原位红外测 H₂O∗/OH∗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 situ UV–visible spectroscopy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原位紫外–可见（ClO⁻ 等物种）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Flow-type seawater and pure water electrolysers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器件组装参数（9 cm² 电极、膜预处理、喷涂、热压、流速、载量）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Computational methods and models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DFT 水解离能垒等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一句话定性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"界面微环境调控"的范式论文 + 器件级验证模板</w:t>
      </w:r>
      <w:r>
        <w:rPr>
          <w:rFonts w:ascii="Times New Roman" w:hAnsi="Times New Roman" w:eastAsia="宋体"/>
          <w:b w:val="0"/>
          <w:sz w:val="24"/>
        </w:rPr>
        <w:t>。它不改催化剂的电子结构，而是在电极表面</w:t>
      </w:r>
      <w:r>
        <w:rPr>
          <w:rFonts w:ascii="Times New Roman" w:hAnsi="Times New Roman" w:eastAsia="宋体"/>
          <w:b/>
          <w:sz w:val="24"/>
        </w:rPr>
        <w:t>造一个局部化学环境</w:t>
      </w:r>
      <w:r>
        <w:rPr>
          <w:rFonts w:ascii="Times New Roman" w:hAnsi="Times New Roman" w:eastAsia="宋体"/>
          <w:b w:val="0"/>
          <w:sz w:val="24"/>
        </w:rPr>
        <w:t>（局部 pH、离子组成、双电层）；</w:t>
      </w:r>
      <w:r>
        <w:rPr>
          <w:rFonts w:ascii="Times New Roman" w:hAnsi="Times New Roman" w:eastAsia="宋体"/>
          <w:b/>
          <w:sz w:val="24"/>
        </w:rPr>
        <w:t>思路与工具可迁移，但核心机制在强酸中不成立</w:t>
      </w:r>
      <w:r>
        <w:rPr>
          <w:rFonts w:ascii="Times New Roman" w:hAnsi="Times New Roman" w:eastAsia="宋体"/>
          <w:b w:val="0"/>
          <w:sz w:val="24"/>
        </w:rPr>
        <w:t>——所以读它是</w:t>
      </w:r>
      <w:r>
        <w:rPr>
          <w:rFonts w:ascii="Times New Roman" w:hAnsi="Times New Roman" w:eastAsia="宋体"/>
          <w:b/>
          <w:sz w:val="24"/>
        </w:rPr>
        <w:t>学思路、学工具、学写法</w:t>
      </w:r>
      <w:r>
        <w:rPr>
          <w:rFonts w:ascii="Times New Roman" w:hAnsi="Times New Roman" w:eastAsia="宋体"/>
          <w:b w:val="0"/>
          <w:sz w:val="24"/>
        </w:rPr>
        <w:t>，不是学机制。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🔴 第一优先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1) Introduction（**pp.264–265**）——痛点与策略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两个痛点：近中性（pH ≈ 8.0）下</w:t>
      </w:r>
      <w:r>
        <w:rPr>
          <w:rFonts w:ascii="Times New Roman" w:hAnsi="Times New Roman" w:eastAsia="宋体"/>
          <w:b/>
          <w:sz w:val="24"/>
        </w:rPr>
        <w:t>动力学慢、活性低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/>
          <w:sz w:val="24"/>
        </w:rPr>
        <w:t>Cl⁻ 侵蚀</w:t>
      </w:r>
      <w:r>
        <w:rPr>
          <w:rFonts w:ascii="Times New Roman" w:hAnsi="Times New Roman" w:eastAsia="宋体"/>
          <w:b w:val="0"/>
          <w:sz w:val="24"/>
        </w:rPr>
        <w:t xml:space="preserve">与 </w:t>
      </w:r>
      <w:r>
        <w:rPr>
          <w:rFonts w:ascii="Times New Roman" w:hAnsi="Times New Roman" w:eastAsia="宋体"/>
          <w:b/>
          <w:sz w:val="24"/>
        </w:rPr>
        <w:t>Mg²⁺/Ca²⁺ 沉淀</w:t>
      </w:r>
      <w:r>
        <w:rPr>
          <w:rFonts w:ascii="Times New Roman" w:hAnsi="Times New Roman" w:eastAsia="宋体"/>
          <w:b w:val="0"/>
          <w:sz w:val="24"/>
        </w:rPr>
        <w:t>导致失活。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策略：在过渡金属氧化物表面引入</w:t>
      </w:r>
      <w:r>
        <w:rPr>
          <w:rFonts w:ascii="Times New Roman" w:hAnsi="Times New Roman" w:eastAsia="宋体"/>
          <w:b/>
          <w:sz w:val="24"/>
        </w:rPr>
        <w:t>硬 Lewis 酸层（Cr₂O₃）</w:t>
      </w:r>
      <w:r>
        <w:rPr>
          <w:rFonts w:ascii="Times New Roman" w:hAnsi="Times New Roman" w:eastAsia="宋体"/>
          <w:b w:val="0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动态劈裂水分子并捕获羟基阴离子</w:t>
      </w:r>
      <w:r>
        <w:rPr>
          <w:rFonts w:ascii="Times New Roman" w:hAnsi="Times New Roman" w:eastAsia="宋体"/>
          <w:b w:val="0"/>
          <w:sz w:val="24"/>
        </w:rPr>
        <w:t xml:space="preserve"> → 原位生成</w:t>
      </w:r>
      <w:r>
        <w:rPr>
          <w:rFonts w:ascii="Times New Roman" w:hAnsi="Times New Roman" w:eastAsia="宋体"/>
          <w:b/>
          <w:sz w:val="24"/>
        </w:rPr>
        <w:t>局部碱性微环境</w:t>
      </w:r>
      <w:r>
        <w:rPr>
          <w:rFonts w:ascii="Times New Roman" w:hAnsi="Times New Roman" w:eastAsia="宋体"/>
          <w:b w:val="0"/>
          <w:sz w:val="24"/>
        </w:rPr>
        <w:t xml:space="preserve"> → 提升两极动力学、阻挡 Cl⁻、抑制沉淀。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为什么选 Cr：</w:t>
      </w:r>
      <w:r>
        <w:rPr>
          <w:rFonts w:ascii="Times New Roman" w:hAnsi="Times New Roman" w:eastAsia="宋体"/>
          <w:b/>
          <w:sz w:val="24"/>
        </w:rPr>
        <w:t>Cr³⁺ 是过渡金属中最硬的 Lewis 酸</w:t>
      </w:r>
      <w:r>
        <w:rPr>
          <w:rFonts w:ascii="Times New Roman" w:hAnsi="Times New Roman" w:eastAsia="宋体"/>
          <w:b w:val="0"/>
          <w:sz w:val="24"/>
        </w:rPr>
        <w:t>（pKa 2.05）；</w:t>
      </w:r>
      <w:r>
        <w:rPr>
          <w:rFonts w:ascii="Times New Roman" w:hAnsi="Times New Roman" w:eastAsia="宋体"/>
          <w:b/>
          <w:sz w:val="24"/>
        </w:rPr>
        <w:t>Cr₂O₃ 电催化惰性且全电位区间电化学稳定</w:t>
      </w:r>
      <w:r>
        <w:rPr>
          <w:rFonts w:ascii="Times New Roman" w:hAnsi="Times New Roman" w:eastAsia="宋体"/>
          <w:b w:val="0"/>
          <w:sz w:val="24"/>
        </w:rPr>
        <w:t>（只调环境、不参与催化）。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2) Results · Quantification of catalyst surface's local alkalinity（**p.266**）——三套证据之一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RRDE 定量界面 pH</w:t>
      </w:r>
      <w:r>
        <w:rPr>
          <w:rFonts w:ascii="Times New Roman" w:hAnsi="Times New Roman" w:eastAsia="宋体"/>
          <w:b w:val="0"/>
          <w:sz w:val="24"/>
        </w:rPr>
        <w:t xml:space="preserve">：6 at% Cr₂O₃-CoOₓ 在 </w:t>
      </w:r>
      <w:r>
        <w:rPr>
          <w:rFonts w:ascii="Times New Roman" w:hAnsi="Times New Roman" w:eastAsia="宋体"/>
          <w:b/>
          <w:sz w:val="24"/>
        </w:rPr>
        <w:t>1.60 V vs RHE 时表面 pH 接近 14</w:t>
      </w:r>
      <w:r>
        <w:rPr>
          <w:rFonts w:ascii="Times New Roman" w:hAnsi="Times New Roman" w:eastAsia="宋体"/>
          <w:b w:val="0"/>
          <w:sz w:val="24"/>
        </w:rPr>
        <w:t>（方法见 Methods p.270）。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性能：自然海水（仅过滤）中 </w:t>
      </w:r>
      <w:r>
        <w:rPr>
          <w:rFonts w:ascii="Times New Roman" w:hAnsi="Times New Roman" w:eastAsia="宋体"/>
          <w:b/>
          <w:sz w:val="24"/>
        </w:rPr>
        <w:t>1.89 V → 150 mA cm⁻²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1.99 V → 400 mA cm⁻²</w:t>
      </w:r>
      <w:r>
        <w:rPr>
          <w:rFonts w:ascii="Times New Roman" w:hAnsi="Times New Roman" w:eastAsia="宋体"/>
          <w:b w:val="0"/>
          <w:sz w:val="24"/>
        </w:rPr>
        <w:t>（75% iR 补偿）；</w:t>
      </w:r>
      <w:r>
        <w:rPr>
          <w:rFonts w:ascii="Times New Roman" w:hAnsi="Times New Roman" w:eastAsia="宋体"/>
          <w:b/>
          <w:sz w:val="24"/>
        </w:rPr>
        <w:t>1.80 V 稳定 &gt;200 h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顺手一句很有用</w:t>
      </w:r>
      <w:r>
        <w:rPr>
          <w:rFonts w:ascii="Times New Roman" w:hAnsi="Times New Roman" w:eastAsia="宋体"/>
          <w:b w:val="0"/>
          <w:sz w:val="24"/>
        </w:rPr>
        <w:t xml:space="preserve">：该策略对 </w:t>
      </w:r>
      <w:r>
        <w:rPr>
          <w:rFonts w:ascii="Times New Roman" w:hAnsi="Times New Roman" w:eastAsia="宋体"/>
          <w:b/>
          <w:sz w:val="24"/>
        </w:rPr>
        <w:t>NiOₓ 与 MnOₓ 同样适用</w:t>
      </w:r>
      <w:r>
        <w:rPr>
          <w:rFonts w:ascii="Times New Roman" w:hAnsi="Times New Roman" w:eastAsia="宋体"/>
          <w:b w:val="0"/>
          <w:sz w:val="24"/>
        </w:rPr>
        <w:t>（Cr₂O₃-MnOₓ 活性显著高于原始 MnOₓ）→ 你课题的间接先例（</w:t>
      </w:r>
      <w:r>
        <w:rPr>
          <w:rFonts w:ascii="Times New Roman" w:hAnsi="Times New Roman" w:eastAsia="宋体"/>
          <w:b/>
          <w:sz w:val="24"/>
        </w:rPr>
        <w:t>但酸性需重新验证</w:t>
      </w:r>
      <w:r>
        <w:rPr>
          <w:rFonts w:ascii="Times New Roman" w:hAnsi="Times New Roman" w:eastAsia="宋体"/>
          <w:b w:val="0"/>
          <w:sz w:val="24"/>
        </w:rPr>
        <w:t>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3) Results · Revealing the origin of local alkalinity（**p.267**）+ Origin of enhanced HER（**p.268**）——另两套证据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原位红外</w:t>
      </w:r>
      <w:r>
        <w:rPr>
          <w:rFonts w:ascii="Times New Roman" w:hAnsi="Times New Roman" w:eastAsia="宋体"/>
          <w:b w:val="0"/>
          <w:sz w:val="24"/>
        </w:rPr>
        <w:t>：H₂O∗ 谱带随电位</w:t>
      </w:r>
      <w:r>
        <w:rPr>
          <w:rFonts w:ascii="Times New Roman" w:hAnsi="Times New Roman" w:eastAsia="宋体"/>
          <w:b/>
          <w:sz w:val="24"/>
        </w:rPr>
        <w:t>向 OH∗ 位移</w:t>
      </w:r>
      <w:r>
        <w:rPr>
          <w:rFonts w:ascii="Times New Roman" w:hAnsi="Times New Roman" w:eastAsia="宋体"/>
          <w:b w:val="0"/>
          <w:sz w:val="24"/>
        </w:rPr>
        <w:t xml:space="preserve">（p.267）；文中还提到 </w:t>
      </w:r>
      <w:r>
        <w:rPr>
          <w:rFonts w:ascii="Times New Roman" w:hAnsi="Times New Roman" w:eastAsia="宋体"/>
          <w:b/>
          <w:sz w:val="24"/>
        </w:rPr>
        <w:t>¹⁸O 动力学同位素效应</w:t>
      </w:r>
      <w:r>
        <w:rPr>
          <w:rFonts w:ascii="Times New Roman" w:hAnsi="Times New Roman" w:eastAsia="宋体"/>
          <w:b w:val="0"/>
          <w:sz w:val="24"/>
        </w:rPr>
        <w:t>佐证路径（p.267）。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DFT</w:t>
      </w:r>
      <w:r>
        <w:rPr>
          <w:rFonts w:ascii="Times New Roman" w:hAnsi="Times New Roman" w:eastAsia="宋体"/>
          <w:b w:val="0"/>
          <w:sz w:val="24"/>
        </w:rPr>
        <w:t>：Cr₂O₃ 上</w:t>
      </w:r>
      <w:r>
        <w:rPr>
          <w:rFonts w:ascii="Times New Roman" w:hAnsi="Times New Roman" w:eastAsia="宋体"/>
          <w:b/>
          <w:sz w:val="24"/>
        </w:rPr>
        <w:t>水解离能垒仅 0.08 eV</w:t>
      </w:r>
      <w:r>
        <w:rPr>
          <w:rFonts w:ascii="Times New Roman" w:hAnsi="Times New Roman" w:eastAsia="宋体"/>
          <w:b w:val="0"/>
          <w:sz w:val="24"/>
        </w:rPr>
        <w:t>（p.268）。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🔴 第二优先：可迁移的三件工具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13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工具</w:t>
            </w:r>
          </w:p>
        </w:tc>
        <w:tc>
          <w:tcPr>
            <w:tcW w:type="dxa" w:w="360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章节位置</w:t>
            </w:r>
          </w:p>
        </w:tc>
        <w:tc>
          <w:tcPr>
            <w:tcW w:type="dxa" w:w="372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对你的用途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① </w:t>
            </w:r>
            <w:r>
              <w:rPr>
                <w:rFonts w:ascii="Times New Roman" w:hAnsi="Times New Roman" w:eastAsia="宋体"/>
                <w:b/>
                <w:sz w:val="24"/>
              </w:rPr>
              <w:t>界面 pH 定量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Methods · </w:t>
            </w:r>
            <w:r>
              <w:rPr>
                <w:rFonts w:ascii="Times New Roman" w:hAnsi="Times New Roman" w:eastAsia="宋体"/>
                <w:b/>
                <w:sz w:val="24"/>
              </w:rPr>
              <w:t>Measurement of pH on the catalyst surface（p.270）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该 RRDE 上的 IrO₂ 层本身就是 CV 电沉积制备</w:t>
            </w:r>
            <w:r>
              <w:rPr>
                <w:rFonts w:ascii="Times New Roman" w:hAnsi="Times New Roman" w:eastAsia="宋体"/>
                <w:b w:val="0"/>
                <w:sz w:val="24"/>
              </w:rPr>
              <w:t>——本文唯一能直接照做的电沉积步骤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② </w:t>
            </w:r>
            <w:r>
              <w:rPr>
                <w:rFonts w:ascii="Times New Roman" w:hAnsi="Times New Roman" w:eastAsia="宋体"/>
                <w:b/>
                <w:sz w:val="24"/>
              </w:rPr>
              <w:t>¹⁸O KIE 判路径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Results · Revealing the origin…（p.267）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判断 MnO₂ 是否作为晶格氧源参与（对应你"Mn 是缓冲还是参与"的核心问题）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③ </w:t>
            </w:r>
            <w:r>
              <w:rPr>
                <w:rFonts w:ascii="Times New Roman" w:hAnsi="Times New Roman" w:eastAsia="宋体"/>
                <w:b/>
                <w:sz w:val="24"/>
              </w:rPr>
              <w:t>反应后相与侵蚀分析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Results · Chlorine chemistry inhibition（p.267）+ Methods（p.270）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XRD/XPS 查沉淀相与侵蚀物种 → 对应你课题"反应后相分析 + 电解液溶出定量"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🔴 第三优先：器件级验证与稳定性量化模板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章节：</w:t>
      </w:r>
      <w:r>
        <w:rPr>
          <w:rFonts w:ascii="Times New Roman" w:hAnsi="Times New Roman" w:eastAsia="宋体"/>
          <w:b/>
          <w:sz w:val="24"/>
        </w:rPr>
        <w:t>Results · Flow-type natural seawater electrolyser（pp.268–269）</w:t>
      </w:r>
      <w:r>
        <w:rPr>
          <w:rFonts w:ascii="Times New Roman" w:hAnsi="Times New Roman" w:eastAsia="宋体"/>
          <w:b w:val="0"/>
          <w:sz w:val="24"/>
        </w:rPr>
        <w:t xml:space="preserve"> + </w:t>
      </w:r>
      <w:r>
        <w:rPr>
          <w:rFonts w:ascii="Times New Roman" w:hAnsi="Times New Roman" w:eastAsia="宋体"/>
          <w:b/>
          <w:sz w:val="24"/>
        </w:rPr>
        <w:t>Methods · Flow-type…electrolysers（p.270）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参数：9 cm² 电极、膜预处理、催化剂喷涂、热压、流速、载量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写法："</w:t>
      </w:r>
      <w:r>
        <w:rPr>
          <w:rFonts w:ascii="Times New Roman" w:hAnsi="Times New Roman" w:eastAsia="宋体"/>
          <w:b/>
          <w:sz w:val="24"/>
        </w:rPr>
        <w:t>电流密度 — 时长 — 保持率</w:t>
      </w:r>
      <w:r>
        <w:rPr>
          <w:rFonts w:ascii="Times New Roman" w:hAnsi="Times New Roman" w:eastAsia="宋体"/>
          <w:b w:val="0"/>
          <w:sz w:val="24"/>
        </w:rPr>
        <w:t xml:space="preserve">"三要素 + </w:t>
      </w:r>
      <w:r>
        <w:rPr>
          <w:rFonts w:ascii="Times New Roman" w:hAnsi="Times New Roman" w:eastAsia="宋体"/>
          <w:b/>
          <w:sz w:val="24"/>
        </w:rPr>
        <w:t>法拉第效率</w:t>
      </w:r>
      <w:r>
        <w:rPr>
          <w:rFonts w:ascii="Times New Roman" w:hAnsi="Times New Roman" w:eastAsia="宋体"/>
          <w:b w:val="0"/>
          <w:sz w:val="24"/>
        </w:rPr>
        <w:t>（H₂ ≈ 93%、O₂ ≈ 92%，pp.264、269）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对标：25 °C、2.33 V → </w:t>
      </w:r>
      <w:r>
        <w:rPr>
          <w:rFonts w:ascii="Times New Roman" w:hAnsi="Times New Roman" w:eastAsia="宋体"/>
          <w:b/>
          <w:sz w:val="24"/>
        </w:rPr>
        <w:t>1.0 A cm⁻²</w:t>
      </w:r>
      <w:r>
        <w:rPr>
          <w:rFonts w:ascii="Times New Roman" w:hAnsi="Times New Roman" w:eastAsia="宋体"/>
          <w:b w:val="0"/>
          <w:sz w:val="24"/>
        </w:rPr>
        <w:t xml:space="preserve">；60 °C 仅需 </w:t>
      </w:r>
      <w:r>
        <w:rPr>
          <w:rFonts w:ascii="Times New Roman" w:hAnsi="Times New Roman" w:eastAsia="宋体"/>
          <w:b/>
          <w:sz w:val="24"/>
        </w:rPr>
        <w:t>1.87 V</w:t>
      </w:r>
      <w:r>
        <w:rPr>
          <w:rFonts w:ascii="Times New Roman" w:hAnsi="Times New Roman" w:eastAsia="宋体"/>
          <w:b w:val="0"/>
          <w:sz w:val="24"/>
        </w:rPr>
        <w:t xml:space="preserve"> → 1.0 A cm⁻²；</w:t>
      </w:r>
      <w:r>
        <w:rPr>
          <w:rFonts w:ascii="Times New Roman" w:hAnsi="Times New Roman" w:eastAsia="宋体"/>
          <w:b/>
          <w:sz w:val="24"/>
        </w:rPr>
        <w:t>500 mA cm⁻² 稳定 &gt;100 h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⚪ 可以快读/跳过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Introduction 中关于海水资源与氢能的宏观铺垫</w:t>
      </w:r>
      <w:r>
        <w:rPr>
          <w:rFonts w:ascii="Times New Roman" w:hAnsi="Times New Roman" w:eastAsia="宋体"/>
          <w:b w:val="0"/>
          <w:sz w:val="24"/>
        </w:rPr>
        <w:t>（p.264 前半）：扫读即可。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Results · Chlorine chemistry inhibition（p.267）的 Cl⁻ 化学细节</w:t>
      </w:r>
      <w:r>
        <w:rPr>
          <w:rFonts w:ascii="Times New Roman" w:hAnsi="Times New Roman" w:eastAsia="宋体"/>
          <w:b w:val="0"/>
          <w:sz w:val="24"/>
        </w:rPr>
        <w:t>：只需记住"XPS 几乎无 Cl、选择性 ~98%、表面 OH⁻ 过量近两个数量级"三句。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Conclusions（p.269）</w:t>
      </w:r>
      <w:r>
        <w:rPr>
          <w:rFonts w:ascii="Times New Roman" w:hAnsi="Times New Roman" w:eastAsia="宋体"/>
          <w:b w:val="0"/>
          <w:sz w:val="24"/>
        </w:rPr>
        <w:t>：与 Abstract 重复，扫一眼。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Methods 里的 UV–vis 与计算细节</w:t>
      </w:r>
      <w:r>
        <w:rPr>
          <w:rFonts w:ascii="Times New Roman" w:hAnsi="Times New Roman" w:eastAsia="宋体"/>
          <w:b w:val="0"/>
          <w:sz w:val="24"/>
        </w:rPr>
        <w:t>（p.270）：除非你要复现界面 pH 法，否则略读。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⚠️ 边界条件（必须写进 pre 的"局限"，这是加分点）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机制不可照搬</w:t>
      </w:r>
      <w:r>
        <w:rPr>
          <w:rFonts w:ascii="Times New Roman" w:hAnsi="Times New Roman" w:eastAsia="宋体"/>
          <w:b w:val="0"/>
          <w:sz w:val="24"/>
        </w:rPr>
        <w:t xml:space="preserve">：Cr³⁺ 的 </w:t>
      </w:r>
      <w:r>
        <w:rPr>
          <w:rFonts w:ascii="Times New Roman" w:hAnsi="Times New Roman" w:eastAsia="宋体"/>
          <w:b/>
          <w:sz w:val="24"/>
        </w:rPr>
        <w:t>pKa 仅 2.05</w:t>
      </w:r>
      <w:r>
        <w:rPr>
          <w:rFonts w:ascii="Times New Roman" w:hAnsi="Times New Roman" w:eastAsia="宋体"/>
          <w:b w:val="0"/>
          <w:sz w:val="24"/>
        </w:rPr>
        <w:t xml:space="preserve">，pH&lt;2 时极易以离子态存在 → </w:t>
      </w:r>
      <w:r>
        <w:rPr>
          <w:rFonts w:ascii="Times New Roman" w:hAnsi="Times New Roman" w:eastAsia="宋体"/>
          <w:b/>
          <w:sz w:val="24"/>
        </w:rPr>
        <w:t>"靠硬酸阳离子劈水造局部碱性"在强酸中不成立</w:t>
      </w:r>
      <w:r>
        <w:rPr>
          <w:rFonts w:ascii="Times New Roman" w:hAnsi="Times New Roman" w:eastAsia="宋体"/>
          <w:b w:val="0"/>
          <w:sz w:val="24"/>
        </w:rPr>
        <w:t>（Introduction, p.265 + R1）。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范式差异</w:t>
      </w:r>
      <w:r>
        <w:rPr>
          <w:rFonts w:ascii="Times New Roman" w:hAnsi="Times New Roman" w:eastAsia="宋体"/>
          <w:b w:val="0"/>
          <w:sz w:val="24"/>
        </w:rPr>
        <w:t xml:space="preserve">：Cr₂O₃ = </w:t>
      </w:r>
      <w:r>
        <w:rPr>
          <w:rFonts w:ascii="Times New Roman" w:hAnsi="Times New Roman" w:eastAsia="宋体"/>
          <w:b/>
          <w:sz w:val="24"/>
        </w:rPr>
        <w:t>惰性屏障型</w:t>
      </w:r>
      <w:r>
        <w:rPr>
          <w:rFonts w:ascii="Times New Roman" w:hAnsi="Times New Roman" w:eastAsia="宋体"/>
          <w:b w:val="0"/>
          <w:sz w:val="24"/>
        </w:rPr>
        <w:t xml:space="preserve">（稳定但不参与）；你的 </w:t>
      </w:r>
      <w:r>
        <w:rPr>
          <w:rFonts w:ascii="Times New Roman" w:hAnsi="Times New Roman" w:eastAsia="宋体"/>
          <w:b/>
          <w:sz w:val="24"/>
        </w:rPr>
        <w:t>MnO₂ = 氧化还原缓冲型</w:t>
      </w:r>
      <w:r>
        <w:rPr>
          <w:rFonts w:ascii="Times New Roman" w:hAnsi="Times New Roman" w:eastAsia="宋体"/>
          <w:b w:val="0"/>
          <w:sz w:val="24"/>
        </w:rPr>
        <w:t xml:space="preserve">（Mn⁴⁺/Mn³⁺ 可逆变价，通过接住/回供电子抑制 Ru 达到易溶高价态）→ </w:t>
      </w:r>
      <w:r>
        <w:rPr>
          <w:rFonts w:ascii="Times New Roman" w:hAnsi="Times New Roman" w:eastAsia="宋体"/>
          <w:b/>
          <w:sz w:val="24"/>
        </w:rPr>
        <w:t>"Cr₂O₃ 稳定但不参与，MnO₂ 参与但需自身稳定"</w:t>
      </w:r>
      <w:r>
        <w:rPr>
          <w:rFonts w:ascii="Times New Roman" w:hAnsi="Times New Roman" w:eastAsia="宋体"/>
          <w:b w:val="0"/>
          <w:sz w:val="24"/>
        </w:rPr>
        <w:t>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稳定性判据不同</w:t>
      </w:r>
      <w:r>
        <w:rPr>
          <w:rFonts w:ascii="Times New Roman" w:hAnsi="Times New Roman" w:eastAsia="宋体"/>
          <w:b w:val="0"/>
          <w:sz w:val="24"/>
        </w:rPr>
        <w:t>：本文用衰减率/保持率（Results · Flow-type…, pp.268–269），</w:t>
      </w:r>
      <w:r>
        <w:rPr>
          <w:rFonts w:ascii="Times New Roman" w:hAnsi="Times New Roman" w:eastAsia="宋体"/>
          <w:b/>
          <w:sz w:val="24"/>
        </w:rPr>
        <w:t>无 ICP 溶出定量、无 S-number</w:t>
      </w:r>
      <w:r>
        <w:rPr>
          <w:rFonts w:ascii="Times New Roman" w:hAnsi="Times New Roman" w:eastAsia="宋体"/>
          <w:b w:val="0"/>
          <w:sz w:val="24"/>
        </w:rPr>
        <w:t xml:space="preserve"> → 你的酸性体系必须自补。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🧭 读的时候带着这 5 个问题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见同目录 </w:t>
      </w:r>
      <w:r>
        <w:rPr>
          <w:rFonts w:ascii="Consolas" w:hAnsi="Consolas" w:eastAsia="Consolas"/>
          <w:sz w:val="24"/>
          <w:shd w:fill="F0F0F0"/>
        </w:rPr>
        <w:t>01-五个问题与标准答案.md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🎯 对 9.24 pre 的用处（**注意：本轮 PPT 正式内容只用 mentor 指定的 5 篇文献**）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246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PPT 页</w:t>
            </w:r>
          </w:p>
        </w:tc>
        <w:tc>
          <w:tcPr>
            <w:tcW w:type="dxa" w:w="385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用它的什么</w:t>
            </w:r>
          </w:p>
        </w:tc>
        <w:tc>
          <w:tcPr>
            <w:tcW w:type="dxa" w:w="214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章节位置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P2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Background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"界面/位点周围的环境决定动力学与稳定性"这一视角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Introduction（pp.264–265）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P6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Literature review III（界面与器件层）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① 局部微环境调控的范式 ② 三件可迁移工具 ③ 器件级"三要素 + 法拉第效率"写法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p.266 / p.267 / p.270 / pp.268–269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P8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Risk &amp; go/no-go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用"局部环境"框架支撑"在 Ru 位点外包一层能劈水/捕获中间体的氧化物"的假设（R2）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p.266 + R2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P10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Experiment plan II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界面 pH 定量（RRDE）、¹⁸O KIE、反应后 XRD/XPS 相分析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p.270 / p.267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Q&amp;A 备答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被问"能不能照搬到酸性"→ 直接答 </w:t>
            </w:r>
            <w:r>
              <w:rPr>
                <w:rFonts w:ascii="Times New Roman" w:hAnsi="Times New Roman" w:eastAsia="宋体"/>
                <w:b/>
                <w:sz w:val="24"/>
              </w:rPr>
              <w:t>Cr³⁺ pKa 2.05 不成立</w:t>
            </w:r>
            <w:r>
              <w:rPr>
                <w:rFonts w:ascii="Times New Roman" w:hAnsi="Times New Roman" w:eastAsia="宋体"/>
                <w:b w:val="0"/>
                <w:sz w:val="24"/>
              </w:rPr>
              <w:t>（显示你读透了边界）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p.265</w:t>
            </w:r>
          </w:p>
        </w:tc>
      </w:tr>
    </w:tbl>
    <w:p/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⚠️ 这篇文献没给的（缺口）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酸性体系的一切</w:t>
      </w:r>
      <w:r>
        <w:rPr>
          <w:rFonts w:ascii="Times New Roman" w:hAnsi="Times New Roman" w:eastAsia="宋体"/>
          <w:b w:val="0"/>
          <w:sz w:val="24"/>
        </w:rPr>
        <w:t>（本文 1 M KOH / 近中性海水）→ 稳定化幅度</w:t>
      </w:r>
      <w:r>
        <w:rPr>
          <w:rFonts w:ascii="Times New Roman" w:hAnsi="Times New Roman" w:eastAsia="宋体"/>
          <w:b/>
          <w:sz w:val="24"/>
        </w:rPr>
        <w:t>不可外推</w:t>
      </w:r>
      <w:r>
        <w:rPr>
          <w:rFonts w:ascii="Times New Roman" w:hAnsi="Times New Roman" w:eastAsia="宋体"/>
          <w:b w:val="0"/>
          <w:sz w:val="24"/>
        </w:rPr>
        <w:t>（R1/R2）。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定量溶出数据</w:t>
      </w:r>
      <w:r>
        <w:rPr>
          <w:rFonts w:ascii="Times New Roman" w:hAnsi="Times New Roman" w:eastAsia="宋体"/>
          <w:b w:val="0"/>
          <w:sz w:val="24"/>
        </w:rPr>
        <w:t>（无 ICP-MS 速率、无 S-number）。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与 Ru 直接相关的内容几乎没有（本文体系是 CoOₓ / MnOₓ）→ 与 Ru 的连接全靠你自己论证（R2）。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