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文献精读报告（替代版 · 二手公开来源）：Atomically dispersed hexavalent iridium oxide from MnO₂ reduction for oxygen evolution catalysis（MnO₂ 还原制备原子分散六价氧化铱用于析氧催化）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编制日期：2026年09月10日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：Ailong Li†、Shuang Kong†、Kiyohiro Adachi、Hideshi Ooka、Kazuna Fushimi、Qike Jiang、Hironori Ofuchi、Satoru Hamamoto、Masaki Oura、Kotaro Higashi、Takuma Kaneko、Tomoya Uruga、Naomi Kawamura、Daisuke Hashizume、</w:t>
      </w:r>
      <w:r>
        <w:rPr>
          <w:rFonts w:ascii="Times New Roman" w:hAnsi="Times New Roman" w:eastAsia="宋体"/>
          <w:b/>
          <w:sz w:val="24"/>
        </w:rPr>
        <w:t>Ryuhei Nakamura</w:t>
      </w:r>
      <w:r>
        <w:rPr>
          <w:rFonts w:ascii="Times New Roman" w:hAnsi="Times New Roman" w:eastAsia="宋体"/>
          <w:b w:val="0"/>
          <w:sz w:val="24"/>
        </w:rPr>
        <w:t>（通讯作者；RIKEN 可持续资源科学中心 CSRS 生物功能催化剂研究组 + RIKEN 紧急物质科学中心 + 高辉度光科学研究中心 SPring-8 + 中科院大连化物所/西湖大学）｜</w:t>
      </w:r>
      <w:r>
        <w:rPr>
          <w:rFonts w:ascii="Times New Roman" w:hAnsi="Times New Roman" w:eastAsia="宋体"/>
          <w:b w:val="0"/>
          <w:i/>
          <w:sz w:val="24"/>
        </w:rPr>
        <w:t>Science</w:t>
      </w:r>
      <w:r>
        <w:rPr>
          <w:rFonts w:ascii="Times New Roman" w:hAnsi="Times New Roman" w:eastAsia="宋体"/>
          <w:b w:val="0"/>
          <w:sz w:val="24"/>
        </w:rPr>
        <w:t xml:space="preserve"> 2024, </w:t>
      </w:r>
      <w:r>
        <w:rPr>
          <w:rFonts w:ascii="Times New Roman" w:hAnsi="Times New Roman" w:eastAsia="宋体"/>
          <w:b/>
          <w:sz w:val="24"/>
        </w:rPr>
        <w:t>384</w:t>
      </w:r>
      <w:r>
        <w:rPr>
          <w:rFonts w:ascii="Times New Roman" w:hAnsi="Times New Roman" w:eastAsia="宋体"/>
          <w:b w:val="0"/>
          <w:sz w:val="24"/>
        </w:rPr>
        <w:t>(6696), 666–670｜DOI: 10.1126/science.adg5193｜精读日期 2026-09-10</w:t>
      </w:r>
    </w:p>
    <w:p>
      <w:pPr>
        <w:spacing w:before="120" w:after="120"/>
        <w:ind w:left="567" w:right="567"/>
        <w:pBdr>
          <w:left w:val="single" w:sz="12" w:color="6366F1"/>
        </w:pBdr>
      </w:pP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 xml:space="preserve">⚠️ </w:t>
      </w:r>
      <w:r>
        <w:rPr>
          <w:rFonts w:ascii="Times New Roman" w:hAnsi="Times New Roman" w:eastAsia="宋体"/>
          <w:b/>
          <w:sz w:val="24"/>
        </w:rPr>
        <w:t>来源声明（务必先读）</w:t>
      </w:r>
      <w:r>
        <w:rPr>
          <w:rFonts w:ascii="Times New Roman" w:hAnsi="Times New Roman" w:eastAsia="宋体"/>
          <w:b w:val="0"/>
          <w:sz w:val="24"/>
        </w:rPr>
        <w:t>：本报告为</w:t>
      </w:r>
      <w:r>
        <w:rPr>
          <w:rFonts w:ascii="Times New Roman" w:hAnsi="Times New Roman" w:eastAsia="宋体"/>
          <w:b/>
          <w:sz w:val="24"/>
        </w:rPr>
        <w:t>替代版精读</w:t>
      </w:r>
      <w:r>
        <w:rPr>
          <w:rFonts w:ascii="Times New Roman" w:hAnsi="Times New Roman" w:eastAsia="宋体"/>
          <w:b w:val="0"/>
          <w:sz w:val="24"/>
        </w:rPr>
        <w:t>——原文 PDF 目前全球范围内</w:t>
      </w:r>
      <w:r>
        <w:rPr>
          <w:rFonts w:ascii="Times New Roman" w:hAnsi="Times New Roman" w:eastAsia="宋体"/>
          <w:b/>
          <w:sz w:val="24"/>
        </w:rPr>
        <w:t>无法合法获取</w:t>
      </w:r>
      <w:r>
        <w:rPr>
          <w:rFonts w:ascii="Times New Roman" w:hAnsi="Times New Roman" w:eastAsia="宋体"/>
          <w:b w:val="0"/>
          <w:sz w:val="24"/>
        </w:rPr>
        <w:t xml:space="preserve">（Unpaywall / OpenAlex / Europe PMC 三方独立判定 </w:t>
      </w:r>
      <w:r>
        <w:rPr>
          <w:rFonts w:ascii="Consolas" w:hAnsi="Consolas" w:eastAsia="Consolas"/>
          <w:sz w:val="24"/>
          <w:shd w:fill="F0F0F0"/>
        </w:rPr>
        <w:t>closed</w:t>
      </w:r>
      <w:r>
        <w:rPr>
          <w:rFonts w:ascii="Times New Roman" w:hAnsi="Times New Roman" w:eastAsia="宋体"/>
          <w:b w:val="0"/>
          <w:sz w:val="24"/>
        </w:rPr>
        <w:t>；无 PMC 版、无机构库副本、无 arXiv/ChemRxiv 预印本；science.org 对本机构未登录访问返回 403）。因此本报告基于以下</w:t>
      </w:r>
      <w:r>
        <w:rPr>
          <w:rFonts w:ascii="Times New Roman" w:hAnsi="Times New Roman" w:eastAsia="宋体"/>
          <w:b/>
          <w:sz w:val="24"/>
        </w:rPr>
        <w:t>公开且可核验的来源</w:t>
      </w:r>
      <w:r>
        <w:rPr>
          <w:rFonts w:ascii="Times New Roman" w:hAnsi="Times New Roman" w:eastAsia="宋体"/>
          <w:b w:val="0"/>
          <w:sz w:val="24"/>
        </w:rPr>
        <w:t>撰写，并逐条标注来源等级：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[</w:t>
      </w:r>
      <w:r>
        <w:rPr>
          <w:rFonts w:ascii="Times New Roman" w:hAnsi="Times New Roman" w:eastAsia="宋体"/>
          <w:b/>
          <w:sz w:val="24"/>
        </w:rPr>
        <w:t>S1] Science 官方摘要</w:t>
      </w:r>
      <w:r>
        <w:rPr>
          <w:rFonts w:ascii="Times New Roman" w:hAnsi="Times New Roman" w:eastAsia="宋体"/>
          <w:b w:val="0"/>
          <w:sz w:val="24"/>
        </w:rPr>
        <w:t>（期刊正式公布的作者摘要，权威度最高）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[</w:t>
      </w:r>
      <w:r>
        <w:rPr>
          <w:rFonts w:ascii="Times New Roman" w:hAnsi="Times New Roman" w:eastAsia="宋体"/>
          <w:b/>
          <w:sz w:val="24"/>
        </w:rPr>
        <w:t>S2] RIKEN 官方新闻稿</w:t>
      </w:r>
      <w:r>
        <w:rPr>
          <w:rFonts w:ascii="Times New Roman" w:hAnsi="Times New Roman" w:eastAsia="宋体"/>
          <w:b w:val="0"/>
          <w:sz w:val="24"/>
        </w:rPr>
        <w:t>（2024-05-10，通讯单位发布；含关键数字与作者引语）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[</w:t>
      </w:r>
      <w:r>
        <w:rPr>
          <w:rFonts w:ascii="Times New Roman" w:hAnsi="Times New Roman" w:eastAsia="宋体"/>
          <w:b/>
          <w:sz w:val="24"/>
        </w:rPr>
        <w:t>S3] 第三方中文技术解读</w:t>
      </w:r>
      <w:r>
        <w:rPr>
          <w:rFonts w:ascii="Times New Roman" w:hAnsi="Times New Roman" w:eastAsia="宋体"/>
          <w:b w:val="0"/>
          <w:sz w:val="24"/>
        </w:rPr>
        <w:t>（纳米人/米测技术中心，逐图转述，细节最丰富但属二手整理 → 凡仅见于 S3 的具体数字均标 ⚠️</w:t>
      </w:r>
      <w:r>
        <w:rPr>
          <w:rFonts w:ascii="Times New Roman" w:hAnsi="Times New Roman" w:eastAsia="宋体"/>
          <w:b/>
          <w:sz w:val="24"/>
        </w:rPr>
        <w:t>待原文核对</w:t>
      </w:r>
      <w:r>
        <w:rPr>
          <w:rFonts w:ascii="Times New Roman" w:hAnsi="Times New Roman" w:eastAsia="宋体"/>
          <w:b w:val="0"/>
          <w:sz w:val="24"/>
        </w:rPr>
        <w:t>）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[</w:t>
      </w:r>
      <w:r>
        <w:rPr>
          <w:rFonts w:ascii="Times New Roman" w:hAnsi="Times New Roman" w:eastAsia="宋体"/>
          <w:b/>
          <w:sz w:val="24"/>
        </w:rPr>
        <w:t>S4] 同组前作 Nat. Catal. 2024 官方新闻稿</w:t>
      </w:r>
      <w:r>
        <w:rPr>
          <w:rFonts w:ascii="Times New Roman" w:hAnsi="Times New Roman" w:eastAsia="宋体"/>
          <w:b w:val="0"/>
          <w:sz w:val="24"/>
        </w:rPr>
        <w:t>（Kong et al. 酸性稳定 MnO₂，提供本工作的直接背景）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[</w:t>
      </w:r>
      <w:r>
        <w:rPr>
          <w:rFonts w:ascii="Times New Roman" w:hAnsi="Times New Roman" w:eastAsia="宋体"/>
          <w:b/>
          <w:sz w:val="24"/>
        </w:rPr>
        <w:t>S5] 第三方 OA 评述</w:t>
      </w:r>
      <w:r>
        <w:rPr>
          <w:rFonts w:ascii="Times New Roman" w:hAnsi="Times New Roman" w:eastAsia="宋体"/>
          <w:b w:val="0"/>
          <w:sz w:val="24"/>
        </w:rPr>
        <w:t xml:space="preserve">：Huo et al. </w:t>
      </w:r>
      <w:r>
        <w:rPr>
          <w:rFonts w:ascii="Times New Roman" w:hAnsi="Times New Roman" w:eastAsia="宋体"/>
          <w:b w:val="0"/>
          <w:i/>
          <w:sz w:val="24"/>
        </w:rPr>
        <w:t>Hexavalent iridium boosts oxygen evolution performance</w:t>
      </w:r>
      <w:r>
        <w:rPr>
          <w:rFonts w:ascii="Times New Roman" w:hAnsi="Times New Roman" w:eastAsia="宋体"/>
          <w:b w:val="0"/>
          <w:sz w:val="24"/>
        </w:rPr>
        <w:t xml:space="preserve">, </w:t>
      </w:r>
      <w:r>
        <w:rPr>
          <w:rFonts w:ascii="Times New Roman" w:hAnsi="Times New Roman" w:eastAsia="宋体"/>
          <w:b/>
          <w:sz w:val="24"/>
        </w:rPr>
        <w:t>Green Carbon</w:t>
      </w:r>
      <w:r>
        <w:rPr>
          <w:rFonts w:ascii="Times New Roman" w:hAnsi="Times New Roman" w:eastAsia="宋体"/>
          <w:b w:val="0"/>
          <w:sz w:val="24"/>
        </w:rPr>
        <w:t xml:space="preserve"> 2024, 2(4), 403–404（CC-BY 开放获取，专文评述本文）DOI: 10.1016/j.greenca.2024.07.003 —— 可在浏览器直接阅读，作为独立第三方视角与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S3] 交叉印证</w:t>
      </w:r>
    </w:p>
    <w:p>
      <w:pPr>
        <w:spacing w:before="120" w:after="120"/>
        <w:ind w:left="567" w:right="567"/>
        <w:pBdr>
          <w:left w:val="single" w:sz="12" w:color="6366F1"/>
        </w:pBdr>
      </w:pP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本报告的作用是</w:t>
      </w:r>
      <w:r>
        <w:rPr>
          <w:rFonts w:ascii="Times New Roman" w:hAnsi="Times New Roman" w:eastAsia="宋体"/>
          <w:b/>
          <w:sz w:val="24"/>
        </w:rPr>
        <w:t>在原文到手前不阻塞 9 月知识准备进度</w:t>
      </w:r>
      <w:r>
        <w:rPr>
          <w:rFonts w:ascii="Times New Roman" w:hAnsi="Times New Roman" w:eastAsia="宋体"/>
          <w:b w:val="0"/>
          <w:sz w:val="24"/>
        </w:rPr>
        <w:t>；拿到 PDF 后须按第六节《待核对清单》逐项校验并升级为正式版。</w:t>
      </w:r>
    </w:p>
    <w:p/>
    <w:p>
      <w:pPr>
        <w:spacing w:before="120" w:after="120"/>
        <w:pBdr>
          <w:bottom w:val="single" w:sz="6" w:color="CCCCCC"/>
        </w:pBdr>
      </w:pP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本文是课题65 的</w:t>
      </w:r>
      <w:r>
        <w:rPr>
          <w:rFonts w:ascii="Times New Roman" w:hAnsi="Times New Roman" w:eastAsia="宋体"/>
          <w:b/>
          <w:sz w:val="24"/>
        </w:rPr>
        <w:t>直接原型论文</w:t>
      </w:r>
      <w:r>
        <w:rPr>
          <w:rFonts w:ascii="Times New Roman" w:hAnsi="Times New Roman" w:eastAsia="宋体"/>
          <w:b w:val="0"/>
          <w:sz w:val="24"/>
        </w:rPr>
        <w:t>：首次实验实现"六价铱氧化物（IrVI）"这一</w:t>
      </w:r>
      <w:r>
        <w:rPr>
          <w:rFonts w:ascii="Times New Roman" w:hAnsi="Times New Roman" w:eastAsia="宋体"/>
          <w:b/>
          <w:sz w:val="24"/>
        </w:rPr>
        <w:t>理论预测中最优、却因酸性溶出而长期无法制备</w:t>
      </w:r>
      <w:r>
        <w:rPr>
          <w:rFonts w:ascii="Times New Roman" w:hAnsi="Times New Roman" w:eastAsia="宋体"/>
          <w:b w:val="0"/>
          <w:sz w:val="24"/>
        </w:rPr>
        <w:t>的酸性析氧（OER）催化剂，并且把它做到</w:t>
      </w:r>
      <w:r>
        <w:rPr>
          <w:rFonts w:ascii="Times New Roman" w:hAnsi="Times New Roman" w:eastAsia="宋体"/>
          <w:b/>
          <w:sz w:val="24"/>
        </w:rPr>
        <w:t>原子级分散</w:t>
      </w:r>
      <w:r>
        <w:rPr>
          <w:rFonts w:ascii="Times New Roman" w:hAnsi="Times New Roman" w:eastAsia="宋体"/>
          <w:b w:val="0"/>
          <w:sz w:val="24"/>
        </w:rPr>
        <w:t>（IrVI-ado, atomically dispersed IrVI oxide），直接服务质子交换膜（PEM）水电解阳极的</w:t>
      </w:r>
      <w:r>
        <w:rPr>
          <w:rFonts w:ascii="Times New Roman" w:hAnsi="Times New Roman" w:eastAsia="宋体"/>
          <w:b/>
          <w:sz w:val="24"/>
        </w:rPr>
        <w:t>降铱</w:t>
      </w:r>
      <w:r>
        <w:rPr>
          <w:rFonts w:ascii="Times New Roman" w:hAnsi="Times New Roman" w:eastAsia="宋体"/>
          <w:b w:val="0"/>
          <w:sz w:val="24"/>
        </w:rPr>
        <w:t>目标。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核心逻辑链</w:t>
      </w:r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S1]+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S3]）：先用主动学习（active learning）在数千种氧化铱中筛选，得出 IrVI（IrO₃ 类）在酸中活性与稳定性</w:t>
      </w:r>
      <w:r>
        <w:rPr>
          <w:rFonts w:ascii="Times New Roman" w:hAnsi="Times New Roman" w:eastAsia="宋体"/>
          <w:b/>
          <w:sz w:val="24"/>
        </w:rPr>
        <w:t>预期最高</w:t>
      </w:r>
      <w:r>
        <w:rPr>
          <w:rFonts w:ascii="Times New Roman" w:hAnsi="Times New Roman" w:eastAsia="宋体"/>
          <w:b w:val="0"/>
          <w:sz w:val="24"/>
        </w:rPr>
        <w:t>；但六价铱在酸性条件下因阳离子浸出而极易溶解，实验实现一直失败。作者的关键突破是</w:t>
      </w:r>
      <w:r>
        <w:rPr>
          <w:rFonts w:ascii="Times New Roman" w:hAnsi="Times New Roman" w:eastAsia="宋体"/>
          <w:b/>
          <w:sz w:val="24"/>
        </w:rPr>
        <w:t>把 MnO₂ 从"惰性载体"变成"氧化剂"</w:t>
      </w:r>
      <w:r>
        <w:rPr>
          <w:rFonts w:ascii="Times New Roman" w:hAnsi="Times New Roman" w:eastAsia="宋体"/>
          <w:b w:val="0"/>
          <w:sz w:val="24"/>
        </w:rPr>
        <w:t>：用 MnO₂ 对六氯铱酸钾(IV)（K₂IrCl₆）进行</w:t>
      </w:r>
      <w:r>
        <w:rPr>
          <w:rFonts w:ascii="Times New Roman" w:hAnsi="Times New Roman" w:eastAsia="宋体"/>
          <w:b/>
          <w:sz w:val="24"/>
        </w:rPr>
        <w:t>氧化性配体取代</w:t>
      </w:r>
      <w:r>
        <w:rPr>
          <w:rFonts w:ascii="Times New Roman" w:hAnsi="Times New Roman" w:eastAsia="宋体"/>
          <w:b w:val="0"/>
          <w:sz w:val="24"/>
        </w:rPr>
        <w:t xml:space="preserve">，把 Ir 从 +4 价氧化为 +6 价，同时配体由 Cl⁻ 交换为 O²⁻，从而在 MnO₂ 表面锚定原子分散的 IrVI 物种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S1]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S3]。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性能锚点</w:t>
      </w:r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S1] 摘要原文）：质量比活性 </w:t>
      </w:r>
      <w:r>
        <w:rPr>
          <w:rFonts w:ascii="Times New Roman" w:hAnsi="Times New Roman" w:eastAsia="宋体"/>
          <w:b/>
          <w:sz w:val="24"/>
        </w:rPr>
        <w:t>1.7×10⁵ A·g_Ir⁻¹</w:t>
      </w:r>
      <w:r>
        <w:rPr>
          <w:rFonts w:ascii="Times New Roman" w:hAnsi="Times New Roman" w:eastAsia="宋体"/>
          <w:b w:val="0"/>
          <w:sz w:val="24"/>
        </w:rPr>
        <w:t>、周转数（TON）</w:t>
      </w:r>
      <w:r>
        <w:rPr>
          <w:rFonts w:ascii="Times New Roman" w:hAnsi="Times New Roman" w:eastAsia="宋体"/>
          <w:b/>
          <w:sz w:val="24"/>
        </w:rPr>
        <w:t>1.5×10⁸</w:t>
      </w:r>
      <w:r>
        <w:rPr>
          <w:rFonts w:ascii="Times New Roman" w:hAnsi="Times New Roman" w:eastAsia="宋体"/>
          <w:b w:val="0"/>
          <w:sz w:val="24"/>
        </w:rPr>
        <w:t>，均超过所有基准氧化铱；PEM 运行中的</w:t>
      </w:r>
      <w:r>
        <w:rPr>
          <w:rFonts w:ascii="Times New Roman" w:hAnsi="Times New Roman" w:eastAsia="宋体"/>
          <w:b/>
          <w:sz w:val="24"/>
        </w:rPr>
        <w:t>原位 X 射线分析</w:t>
      </w:r>
      <w:r>
        <w:rPr>
          <w:rFonts w:ascii="Times New Roman" w:hAnsi="Times New Roman" w:eastAsia="宋体"/>
          <w:b w:val="0"/>
          <w:sz w:val="24"/>
        </w:rPr>
        <w:t xml:space="preserve">证明 IrVI 在电流密度高达 </w:t>
      </w:r>
      <w:r>
        <w:rPr>
          <w:rFonts w:ascii="Times New Roman" w:hAnsi="Times New Roman" w:eastAsia="宋体"/>
          <w:b/>
          <w:sz w:val="24"/>
        </w:rPr>
        <w:t>2.3 A·cm⁻²</w:t>
      </w:r>
      <w:r>
        <w:rPr>
          <w:rFonts w:ascii="Times New Roman" w:hAnsi="Times New Roman" w:eastAsia="宋体"/>
          <w:b w:val="0"/>
          <w:sz w:val="24"/>
        </w:rPr>
        <w:t xml:space="preserve"> 时仍能保持（耐久）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S1]。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产业含义</w:t>
      </w:r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S2] 官方新闻稿）：铱是全球最稀缺金属之一，通讯作者 Nakamura 的原话是"把全球制氢扩展到太瓦级，估计需要</w:t>
      </w:r>
      <w:r>
        <w:rPr>
          <w:rFonts w:ascii="Times New Roman" w:hAnsi="Times New Roman" w:eastAsia="宋体"/>
          <w:b/>
          <w:sz w:val="24"/>
        </w:rPr>
        <w:t>40 年的铱产量</w:t>
      </w:r>
      <w:r>
        <w:rPr>
          <w:rFonts w:ascii="Times New Roman" w:hAnsi="Times New Roman" w:eastAsia="宋体"/>
          <w:b w:val="0"/>
          <w:sz w:val="24"/>
        </w:rPr>
        <w:t>"；本工作在不牺牲产氢速率的前提下把铱用量</w:t>
      </w:r>
      <w:r>
        <w:rPr>
          <w:rFonts w:ascii="Times New Roman" w:hAnsi="Times New Roman" w:eastAsia="宋体"/>
          <w:b/>
          <w:sz w:val="24"/>
        </w:rPr>
        <w:t>减少约 95%</w:t>
      </w:r>
      <w:r>
        <w:rPr>
          <w:rFonts w:ascii="Times New Roman" w:hAnsi="Times New Roman" w:eastAsia="宋体"/>
          <w:b w:val="0"/>
          <w:sz w:val="24"/>
        </w:rPr>
        <w:t>，并在</w:t>
      </w:r>
      <w:r>
        <w:rPr>
          <w:rFonts w:ascii="Times New Roman" w:hAnsi="Times New Roman" w:eastAsia="宋体"/>
          <w:b/>
          <w:sz w:val="24"/>
        </w:rPr>
        <w:t>3000 小时以上</w:t>
      </w:r>
      <w:r>
        <w:rPr>
          <w:rFonts w:ascii="Times New Roman" w:hAnsi="Times New Roman" w:eastAsia="宋体"/>
          <w:b w:val="0"/>
          <w:sz w:val="24"/>
        </w:rPr>
        <w:t xml:space="preserve">（约 4 个月）连续产氢中保持 </w:t>
      </w:r>
      <w:r>
        <w:rPr>
          <w:rFonts w:ascii="Times New Roman" w:hAnsi="Times New Roman" w:eastAsia="宋体"/>
          <w:b/>
          <w:sz w:val="24"/>
        </w:rPr>
        <w:t>82% 效率、无衰减</w:t>
      </w:r>
      <w:r>
        <w:rPr>
          <w:rFonts w:ascii="Times New Roman" w:hAnsi="Times New Roman" w:eastAsia="宋体"/>
          <w:b w:val="0"/>
          <w:sz w:val="24"/>
        </w:rPr>
        <w:t xml:space="preserve">；团队已与工业伙伴合作，对方已在初始 Ir–Mn 催化剂基础上做出改进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S2]。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与前作的关系</w:t>
      </w:r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S4]）：同一团队 2024 年 1 月的 </w:t>
      </w:r>
      <w:r>
        <w:rPr>
          <w:rFonts w:ascii="Times New Roman" w:hAnsi="Times New Roman" w:eastAsia="宋体"/>
          <w:b w:val="0"/>
          <w:i/>
          <w:sz w:val="24"/>
        </w:rPr>
        <w:t>Nat. Catal.</w:t>
      </w:r>
      <w:r>
        <w:rPr>
          <w:rFonts w:ascii="Times New Roman" w:hAnsi="Times New Roman" w:eastAsia="宋体"/>
          <w:b w:val="0"/>
          <w:sz w:val="24"/>
        </w:rPr>
        <w:t xml:space="preserve"> 工作（Kong et al.）用"提高晶格中平面型氧比例至 94%"的策略使 MnO₂ 在酸中稳定：1000 mA·cm⁻² 下维持 1 个月、PEM 中 200 mA·cm⁻² 维持约 6 周（产氢量为既往非贵金属催化剂的 10 倍）。Nakamura 明确把本 Science 工作定位为"</w:t>
      </w:r>
      <w:r>
        <w:rPr>
          <w:rFonts w:ascii="Times New Roman" w:hAnsi="Times New Roman" w:eastAsia="宋体"/>
          <w:b/>
          <w:sz w:val="24"/>
        </w:rPr>
        <w:t>在贵金属与普通金属电解槽之间搭桥</w:t>
      </w:r>
      <w:r>
        <w:rPr>
          <w:rFonts w:ascii="Times New Roman" w:hAnsi="Times New Roman" w:eastAsia="宋体"/>
          <w:b w:val="0"/>
          <w:sz w:val="24"/>
        </w:rPr>
        <w:t xml:space="preserve">"，以便逐步过渡到完全可持续的绿氢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S2]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S4]。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课题关联分析（与课题65 的直接关联）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同一个科学命题的两条实现路径（核心关联）</w:t>
      </w:r>
      <w:r>
        <w:rPr>
          <w:rFonts w:ascii="Times New Roman" w:hAnsi="Times New Roman" w:eastAsia="宋体"/>
          <w:b w:val="0"/>
          <w:sz w:val="24"/>
        </w:rPr>
        <w:t>：课题65 是"</w:t>
      </w:r>
      <w:r>
        <w:rPr>
          <w:rFonts w:ascii="Times New Roman" w:hAnsi="Times New Roman" w:eastAsia="宋体"/>
          <w:b/>
          <w:sz w:val="24"/>
        </w:rPr>
        <w:t>微波多元醇法</w:t>
      </w:r>
      <w:r>
        <w:rPr>
          <w:rFonts w:ascii="Times New Roman" w:hAnsi="Times New Roman" w:eastAsia="宋体"/>
          <w:b w:val="0"/>
          <w:sz w:val="24"/>
        </w:rPr>
        <w:t>合成 MnO₂ 负载 IrO₂ 异质结构、通过 Ir 含量递减找最优配比"；本文是"</w:t>
      </w:r>
      <w:r>
        <w:rPr>
          <w:rFonts w:ascii="Times New Roman" w:hAnsi="Times New Roman" w:eastAsia="宋体"/>
          <w:b/>
          <w:sz w:val="24"/>
        </w:rPr>
        <w:t>MnO₂ 氧化性配体取代 + 煅烧</w:t>
      </w:r>
      <w:r>
        <w:rPr>
          <w:rFonts w:ascii="Times New Roman" w:hAnsi="Times New Roman" w:eastAsia="宋体"/>
          <w:b w:val="0"/>
          <w:sz w:val="24"/>
        </w:rPr>
        <w:t xml:space="preserve">制备原子分散 IrVI"。两者都以 </w:t>
      </w:r>
      <w:r>
        <w:rPr>
          <w:rFonts w:ascii="Times New Roman" w:hAnsi="Times New Roman" w:eastAsia="宋体"/>
          <w:b/>
          <w:sz w:val="24"/>
        </w:rPr>
        <w:t>MnO₂ 为载体</w:t>
      </w:r>
      <w:r>
        <w:rPr>
          <w:rFonts w:ascii="Times New Roman" w:hAnsi="Times New Roman" w:eastAsia="宋体"/>
          <w:b w:val="0"/>
          <w:sz w:val="24"/>
        </w:rPr>
        <w:t xml:space="preserve">、都以 </w:t>
      </w:r>
      <w:r>
        <w:rPr>
          <w:rFonts w:ascii="Times New Roman" w:hAnsi="Times New Roman" w:eastAsia="宋体"/>
          <w:b/>
          <w:sz w:val="24"/>
        </w:rPr>
        <w:t>PEM 阳极降铱</w:t>
      </w:r>
      <w:r>
        <w:rPr>
          <w:rFonts w:ascii="Times New Roman" w:hAnsi="Times New Roman" w:eastAsia="宋体"/>
          <w:b w:val="0"/>
          <w:sz w:val="24"/>
        </w:rPr>
        <w:t>为目标，差别在分散度尺度（单原子 vs 纳米颗粒异质结）与合成能量输入方式（电沉积/煅烧 vs 微波介电加热）。本文的价值在于证明：</w:t>
      </w:r>
      <w:r>
        <w:rPr>
          <w:rFonts w:ascii="Times New Roman" w:hAnsi="Times New Roman" w:eastAsia="宋体"/>
          <w:b/>
          <w:sz w:val="24"/>
        </w:rPr>
        <w:t>MnO₂ 不只是载体，而是可以主动改变 Ir 的价态与电子结构</w:t>
      </w:r>
      <w:r>
        <w:rPr>
          <w:rFonts w:ascii="Times New Roman" w:hAnsi="Times New Roman" w:eastAsia="宋体"/>
          <w:b w:val="0"/>
          <w:sz w:val="24"/>
        </w:rPr>
        <w:t>——这正是课题65 手册里"MnO₂–IrO₂ 异质界面电子转移"命题的极端版本。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载量靶点被重新定义（</w:t>
      </w:r>
      <w:r>
        <w:rPr>
          <w:rFonts w:ascii="Times New Roman" w:hAnsi="Times New Roman" w:eastAsia="宋体"/>
          <w:b/>
          <w:sz w:val="24"/>
        </w:rPr>
        <w:t>[</w:t>
      </w:r>
      <w:r>
        <w:rPr>
          <w:rFonts w:ascii="Times New Roman" w:hAnsi="Times New Roman" w:eastAsia="宋体"/>
          <w:b/>
          <w:sz w:val="24"/>
        </w:rPr>
        <w:t>S1]</w:t>
      </w:r>
      <w:r>
        <w:rPr>
          <w:rFonts w:ascii="Times New Roman" w:hAnsi="Times New Roman" w:eastAsia="宋体"/>
          <w:b/>
          <w:sz w:val="24"/>
        </w:rPr>
        <w:t>[</w:t>
      </w:r>
      <w:r>
        <w:rPr>
          <w:rFonts w:ascii="Times New Roman" w:hAnsi="Times New Roman" w:eastAsia="宋体"/>
          <w:b/>
          <w:sz w:val="24"/>
        </w:rPr>
        <w:t>S3]）</w:t>
      </w:r>
      <w:r>
        <w:rPr>
          <w:rFonts w:ascii="Times New Roman" w:hAnsi="Times New Roman" w:eastAsia="宋体"/>
          <w:b w:val="0"/>
          <w:sz w:val="24"/>
        </w:rPr>
        <w:t xml:space="preserve">：本文在 </w:t>
      </w:r>
      <w:r>
        <w:rPr>
          <w:rFonts w:ascii="Times New Roman" w:hAnsi="Times New Roman" w:eastAsia="宋体"/>
          <w:b/>
          <w:sz w:val="24"/>
        </w:rPr>
        <w:t>0.02 / 0.04 / 0.08 mg_Ir·cm⁻²</w:t>
      </w:r>
      <w:r>
        <w:rPr>
          <w:rFonts w:ascii="Times New Roman" w:hAnsi="Times New Roman" w:eastAsia="宋体"/>
          <w:b w:val="0"/>
          <w:sz w:val="24"/>
        </w:rPr>
        <w:t xml:space="preserve"> 三档载量下均以 IrVI 为主物种（XPS 定量 &gt;80% ⚠️待核对），并在 0.08 mg_Ir·cm⁻² 时实现 2.0 V → 4.0 A·cm⁻²（换 Nafion 212 可达 7.0 A·cm⁻² ⚠️待核对）。对比我此前精读的 Yang 2025（0.3 mg_Ir·cm⁻² 实现 1.769 V@2.0 A·cm⁻²），</w:t>
      </w:r>
      <w:r>
        <w:rPr>
          <w:rFonts w:ascii="Times New Roman" w:hAnsi="Times New Roman" w:eastAsia="宋体"/>
          <w:b/>
          <w:sz w:val="24"/>
        </w:rPr>
        <w:t>本文把"低铱"的标准又压低了一个数量级</w:t>
      </w:r>
      <w:r>
        <w:rPr>
          <w:rFonts w:ascii="Times New Roman" w:hAnsi="Times New Roman" w:eastAsia="宋体"/>
          <w:b w:val="0"/>
          <w:sz w:val="24"/>
        </w:rPr>
        <w:t>——课题65 在做负载量梯度时，应把"&lt;0.1 mg_Ir·cm⁻² 区间"纳入设计，否则难以对标本领域最新标杆。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与产业经济性分析闭环</w:t>
      </w:r>
      <w:r>
        <w:rPr>
          <w:rFonts w:ascii="Times New Roman" w:hAnsi="Times New Roman" w:eastAsia="宋体"/>
          <w:b w:val="0"/>
          <w:sz w:val="24"/>
        </w:rPr>
        <w:t xml:space="preserve">：我在补充3（Johnson Matthey, Catal. Today 2023）精读中得到"Ir 利用率需在 2050 年前提高约一个数量级"，本文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S3] 提供了同一逻辑的定量版本：Ir 年产约 </w:t>
      </w:r>
      <w:r>
        <w:rPr>
          <w:rFonts w:ascii="Times New Roman" w:hAnsi="Times New Roman" w:eastAsia="宋体"/>
          <w:b/>
          <w:sz w:val="24"/>
        </w:rPr>
        <w:t>8 t/yr</w:t>
      </w:r>
      <w:r>
        <w:rPr>
          <w:rFonts w:ascii="Times New Roman" w:hAnsi="Times New Roman" w:eastAsia="宋体"/>
          <w:b w:val="0"/>
          <w:sz w:val="24"/>
        </w:rPr>
        <w:t xml:space="preserve">，现有载量 2–4 mg_Ir·cm⁻² 下全球 PEM 装机被限制在约 </w:t>
      </w:r>
      <w:r>
        <w:rPr>
          <w:rFonts w:ascii="Times New Roman" w:hAnsi="Times New Roman" w:eastAsia="宋体"/>
          <w:b/>
          <w:sz w:val="24"/>
        </w:rPr>
        <w:t>10 GW/yr</w:t>
      </w:r>
      <w:r>
        <w:rPr>
          <w:rFonts w:ascii="Times New Roman" w:hAnsi="Times New Roman" w:eastAsia="宋体"/>
          <w:b w:val="0"/>
          <w:sz w:val="24"/>
        </w:rPr>
        <w:t>，故载量必须降低一个数量级以上。</w:t>
      </w:r>
      <w:r>
        <w:rPr>
          <w:rFonts w:ascii="Times New Roman" w:hAnsi="Times New Roman" w:eastAsia="宋体"/>
          <w:b/>
          <w:sz w:val="24"/>
        </w:rPr>
        <w:t>本文正是这条产业需求的实验回应</w:t>
      </w:r>
      <w:r>
        <w:rPr>
          <w:rFonts w:ascii="Times New Roman" w:hAnsi="Times New Roman" w:eastAsia="宋体"/>
          <w:b w:val="0"/>
          <w:sz w:val="24"/>
        </w:rPr>
        <w:t>——课题65 的立项动机由此从"产业呼吁"升级为"已有可行性证据"。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对"MnO₂ 酸性溶出风险"的直接回答（关键预警的缓解证据）</w:t>
      </w:r>
      <w:r>
        <w:rPr>
          <w:rFonts w:ascii="Times New Roman" w:hAnsi="Times New Roman" w:eastAsia="宋体"/>
          <w:b w:val="0"/>
          <w:sz w:val="24"/>
        </w:rPr>
        <w:t xml:space="preserve">：我在 Reier 2017 精读中把"MnO₂ 在酸性 OER 中通常不稳定"列为课题65 首要风险。本文及其前作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S4] 给出了</w:t>
      </w:r>
      <w:r>
        <w:rPr>
          <w:rFonts w:ascii="Times New Roman" w:hAnsi="Times New Roman" w:eastAsia="宋体"/>
          <w:b/>
          <w:sz w:val="24"/>
        </w:rPr>
        <w:t>同一团队的正面证据</w:t>
      </w:r>
      <w:r>
        <w:rPr>
          <w:rFonts w:ascii="Times New Roman" w:hAnsi="Times New Roman" w:eastAsia="宋体"/>
          <w:b w:val="0"/>
          <w:sz w:val="24"/>
        </w:rPr>
        <w:t>：通过调控晶格中</w:t>
      </w:r>
      <w:r>
        <w:rPr>
          <w:rFonts w:ascii="Times New Roman" w:hAnsi="Times New Roman" w:eastAsia="宋体"/>
          <w:b/>
          <w:sz w:val="24"/>
        </w:rPr>
        <w:t>平面型氧（planar oxygen）</w:t>
      </w:r>
      <w:r>
        <w:rPr>
          <w:rFonts w:ascii="Times New Roman" w:hAnsi="Times New Roman" w:eastAsia="宋体"/>
          <w:b w:val="0"/>
          <w:sz w:val="24"/>
        </w:rPr>
        <w:t>占比至 94%，MnO₂ 可在酸中维持 1000 mA·cm⁻² 一个月；且该稳定性提升</w:t>
      </w:r>
      <w:r>
        <w:rPr>
          <w:rFonts w:ascii="Times New Roman" w:hAnsi="Times New Roman" w:eastAsia="宋体"/>
          <w:b/>
          <w:sz w:val="24"/>
        </w:rPr>
        <w:t>没有牺牲活性</w:t>
      </w:r>
      <w:r>
        <w:rPr>
          <w:rFonts w:ascii="Times New Roman" w:hAnsi="Times New Roman" w:eastAsia="宋体"/>
          <w:b w:val="0"/>
          <w:sz w:val="24"/>
        </w:rPr>
        <w:t>（共同一作孔爽原话："通常稳定性与活性此消彼长，但这次没有"）。这为课题65 的载体选择提供了强支撑，也提示了具体的调控抓手（</w:t>
      </w:r>
      <w:r>
        <w:rPr>
          <w:rFonts w:ascii="Times New Roman" w:hAnsi="Times New Roman" w:eastAsia="宋体"/>
          <w:b/>
          <w:sz w:val="24"/>
        </w:rPr>
        <w:t>晶型/氧配位构型</w:t>
      </w:r>
      <w:r>
        <w:rPr>
          <w:rFonts w:ascii="Times New Roman" w:hAnsi="Times New Roman" w:eastAsia="宋体"/>
          <w:b w:val="0"/>
          <w:sz w:val="24"/>
        </w:rPr>
        <w:t>而非单纯包覆）。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表征与评价方法论的差距提示</w:t>
      </w:r>
      <w:r>
        <w:rPr>
          <w:rFonts w:ascii="Times New Roman" w:hAnsi="Times New Roman" w:eastAsia="宋体"/>
          <w:b w:val="0"/>
          <w:sz w:val="24"/>
        </w:rPr>
        <w:t xml:space="preserve">：本文以 </w:t>
      </w:r>
      <w:r>
        <w:rPr>
          <w:rFonts w:ascii="Times New Roman" w:hAnsi="Times New Roman" w:eastAsia="宋体"/>
          <w:b/>
          <w:sz w:val="24"/>
        </w:rPr>
        <w:t>HERFD-XANES 定出 Ir 氧化态为 +5.8±0.1</w:t>
      </w:r>
      <w:r>
        <w:rPr>
          <w:rFonts w:ascii="Times New Roman" w:hAnsi="Times New Roman" w:eastAsia="宋体"/>
          <w:b w:val="0"/>
          <w:sz w:val="24"/>
        </w:rPr>
        <w:t xml:space="preserve"> ⚠️待核对（普通 XANES 分辨率不足以区分 Ir(IV)/Ir(VI)），并做 </w:t>
      </w:r>
      <w:r>
        <w:rPr>
          <w:rFonts w:ascii="Times New Roman" w:hAnsi="Times New Roman" w:eastAsia="宋体"/>
          <w:b/>
          <w:sz w:val="24"/>
        </w:rPr>
        <w:t>PEM 工况下的原位 XAS</w:t>
      </w:r>
      <w:r>
        <w:rPr>
          <w:rFonts w:ascii="Times New Roman" w:hAnsi="Times New Roman" w:eastAsia="宋体"/>
          <w:b w:val="0"/>
          <w:sz w:val="24"/>
        </w:rPr>
        <w:t>；课题65 若无法使用同步辐射，至少应做到 XPS 4f 分峰 + 多价态参考样品对照，并在结论中明确氧化态归属的置信度（这正是 Reier 2017 强调的"Ir(V)/Ir(III) 归属争议"）。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内容深度解读（含关键数据）</w:t>
      </w:r>
    </w:p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3.1 合成路线：把 MnO₂ 从载体升级为氧化剂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反应本质</w:t>
      </w:r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S1] 摘要原文）："通过用 MnO₂ </w:t>
      </w:r>
      <w:r>
        <w:rPr>
          <w:rFonts w:ascii="Times New Roman" w:hAnsi="Times New Roman" w:eastAsia="宋体"/>
          <w:b/>
          <w:sz w:val="24"/>
        </w:rPr>
        <w:t>氧化性取代</w:t>
      </w:r>
      <w:r>
        <w:rPr>
          <w:rFonts w:ascii="Times New Roman" w:hAnsi="Times New Roman" w:eastAsia="宋体"/>
          <w:b w:val="0"/>
          <w:sz w:val="24"/>
        </w:rPr>
        <w:t xml:space="preserve"> K₂IrCl₆ 的配体来合成 IrVI-ado"——即 MnO₂ 提供氧化当量，把 Ir(IV) 氧化为 Ir(VI)，同时 Ir 的配体从 Cl⁻ 变为 O²⁻，形成 Ir–O 配位环境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S1]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S3]。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过程监测</w:t>
      </w:r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S3]，⚠️待核对）：煅烧过程中用</w:t>
      </w:r>
      <w:r>
        <w:rPr>
          <w:rFonts w:ascii="Times New Roman" w:hAnsi="Times New Roman" w:eastAsia="宋体"/>
          <w:b/>
          <w:sz w:val="24"/>
        </w:rPr>
        <w:t>原位 XAS</w:t>
      </w:r>
      <w:r>
        <w:rPr>
          <w:rFonts w:ascii="Times New Roman" w:hAnsi="Times New Roman" w:eastAsia="宋体"/>
          <w:b w:val="0"/>
          <w:sz w:val="24"/>
        </w:rPr>
        <w:t xml:space="preserve"> 追踪 Ir 的氧化态与配位结构演变，证实 Ir 由 4+ 被氧化至更高价态，且 </w:t>
      </w:r>
      <w:r>
        <w:rPr>
          <w:rFonts w:ascii="Times New Roman" w:hAnsi="Times New Roman" w:eastAsia="宋体"/>
          <w:b/>
          <w:sz w:val="24"/>
        </w:rPr>
        <w:t>MnO₂ 在此过程中充当氧化剂</w:t>
      </w:r>
      <w:r>
        <w:rPr>
          <w:rFonts w:ascii="Times New Roman" w:hAnsi="Times New Roman" w:eastAsia="宋体"/>
          <w:b w:val="0"/>
          <w:sz w:val="24"/>
        </w:rPr>
        <w:t>（而非旁观载体）。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载体电极形式</w:t>
      </w:r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S2] 官方图注）：MnO₂ </w:t>
      </w:r>
      <w:r>
        <w:rPr>
          <w:rFonts w:ascii="Times New Roman" w:hAnsi="Times New Roman" w:eastAsia="宋体"/>
          <w:b/>
          <w:sz w:val="24"/>
        </w:rPr>
        <w:t>电沉积在耐蚀的铂涂层钛网（Pt-coated Ti mesh）</w:t>
      </w:r>
      <w:r>
        <w:rPr>
          <w:rFonts w:ascii="Times New Roman" w:hAnsi="Times New Roman" w:eastAsia="宋体"/>
          <w:b w:val="0"/>
          <w:sz w:val="24"/>
        </w:rPr>
        <w:t>上，Ir 以原子级分散于其表面——这与 Reier 2017 中"阳极载体必须耐酸耐高电位（碳会 C→CO₂，需 ATO/ITO 等导电氧化物）"的论述完全一致。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与课题65 的对照</w:t>
      </w:r>
      <w:r>
        <w:rPr>
          <w:rFonts w:ascii="Times New Roman" w:hAnsi="Times New Roman" w:eastAsia="宋体"/>
          <w:b w:val="0"/>
          <w:sz w:val="24"/>
        </w:rPr>
        <w:t>：本文的驱动力来自</w:t>
      </w:r>
      <w:r>
        <w:rPr>
          <w:rFonts w:ascii="Times New Roman" w:hAnsi="Times New Roman" w:eastAsia="宋体"/>
          <w:b/>
          <w:sz w:val="24"/>
        </w:rPr>
        <w:t>固相氧化还原耦合 + 煅烧</w:t>
      </w:r>
      <w:r>
        <w:rPr>
          <w:rFonts w:ascii="Times New Roman" w:hAnsi="Times New Roman" w:eastAsia="宋体"/>
          <w:b w:val="0"/>
          <w:sz w:val="24"/>
        </w:rPr>
        <w:t>；课题65 的驱动力来自</w:t>
      </w:r>
      <w:r>
        <w:rPr>
          <w:rFonts w:ascii="Times New Roman" w:hAnsi="Times New Roman" w:eastAsia="宋体"/>
          <w:b/>
          <w:sz w:val="24"/>
        </w:rPr>
        <w:t>微波介电加热 + 乙二醇还原</w:t>
      </w:r>
      <w:r>
        <w:rPr>
          <w:rFonts w:ascii="Times New Roman" w:hAnsi="Times New Roman" w:eastAsia="宋体"/>
          <w:b w:val="0"/>
          <w:sz w:val="24"/>
        </w:rPr>
        <w:t>。值得在课题65 中验证的科学问题：</w:t>
      </w:r>
      <w:r>
        <w:rPr>
          <w:rFonts w:ascii="Times New Roman" w:hAnsi="Times New Roman" w:eastAsia="宋体"/>
          <w:b/>
          <w:sz w:val="24"/>
        </w:rPr>
        <w:t>微波快速均匀加热是否更利于形成"载体→金属"的定向电子转移</w:t>
      </w:r>
      <w:r>
        <w:rPr>
          <w:rFonts w:ascii="Times New Roman" w:hAnsi="Times New Roman" w:eastAsia="宋体"/>
          <w:b w:val="0"/>
          <w:sz w:val="24"/>
        </w:rPr>
        <w:t>，以及乙二醇的还原性环境能否复现 MnO₂ 对 Ir 的氧化调控（两者方向相反，可能得到不同价态分布——这本身就是一个可写的对比实验）。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3.2 表征证据链：如何证明"六价 + 原子分散"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价态证据</w:t>
      </w:r>
      <w:r>
        <w:rPr>
          <w:rFonts w:ascii="Times New Roman" w:hAnsi="Times New Roman" w:eastAsia="宋体"/>
          <w:b w:val="0"/>
          <w:sz w:val="24"/>
        </w:rPr>
        <w:t xml:space="preserve">：高能量分辨率荧光检测 XANES（HERFD-XANES）估计氧化态 </w:t>
      </w:r>
      <w:r>
        <w:rPr>
          <w:rFonts w:ascii="Times New Roman" w:hAnsi="Times New Roman" w:eastAsia="宋体"/>
          <w:b/>
          <w:sz w:val="24"/>
        </w:rPr>
        <w:t>+5.8±0.1</w:t>
      </w:r>
      <w:r>
        <w:rPr>
          <w:rFonts w:ascii="Times New Roman" w:hAnsi="Times New Roman" w:eastAsia="宋体"/>
          <w:b w:val="0"/>
          <w:sz w:val="24"/>
        </w:rPr>
        <w:t xml:space="preserve">，与 </w:t>
      </w:r>
      <w:r>
        <w:rPr>
          <w:rFonts w:ascii="Times New Roman" w:hAnsi="Times New Roman" w:eastAsia="宋体"/>
          <w:b/>
          <w:sz w:val="24"/>
        </w:rPr>
        <w:t>d³ 电子构型</w:t>
      </w:r>
      <w:r>
        <w:rPr>
          <w:rFonts w:ascii="Times New Roman" w:hAnsi="Times New Roman" w:eastAsia="宋体"/>
          <w:b w:val="0"/>
          <w:sz w:val="24"/>
        </w:rPr>
        <w:t>的 IrVI 相符（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S3]，⚠️待核对原文）。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XPS 证据</w:t>
      </w:r>
      <w:r>
        <w:rPr>
          <w:rFonts w:ascii="Times New Roman" w:hAnsi="Times New Roman" w:eastAsia="宋体"/>
          <w:b w:val="0"/>
          <w:sz w:val="24"/>
        </w:rPr>
        <w:t xml:space="preserve">：Ir 4f 高分辨谱中 IrVI 与其他氧化态结合能差异显著；定量分析显示三档载量（0.02/0.04/0.08 mg_Ir·cm⁻²）下 </w:t>
      </w:r>
      <w:r>
        <w:rPr>
          <w:rFonts w:ascii="Times New Roman" w:hAnsi="Times New Roman" w:eastAsia="宋体"/>
          <w:b/>
          <w:sz w:val="24"/>
        </w:rPr>
        <w:t>IrVI 均为主物种（&gt;80%）</w:t>
      </w:r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S3]，⚠️待核对）。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分散度证据</w:t>
      </w:r>
      <w:r>
        <w:rPr>
          <w:rFonts w:ascii="Times New Roman" w:hAnsi="Times New Roman" w:eastAsia="宋体"/>
          <w:b w:val="0"/>
          <w:sz w:val="24"/>
        </w:rPr>
        <w:t xml:space="preserve">：SEM 显示 IrVI-ado 均匀覆盖多孔传输层（PTL）基底；HAADF-STEM 显示 </w:t>
      </w:r>
      <w:r>
        <w:rPr>
          <w:rFonts w:ascii="Times New Roman" w:hAnsi="Times New Roman" w:eastAsia="宋体"/>
          <w:b/>
          <w:sz w:val="24"/>
        </w:rPr>
        <w:t>Ir 以原子级分散在 MnO₂ 上</w:t>
      </w:r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S2]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S3]）。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工况价态证据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原位电化学 XAS</w:t>
      </w:r>
      <w:r>
        <w:rPr>
          <w:rFonts w:ascii="Times New Roman" w:hAnsi="Times New Roman" w:eastAsia="宋体"/>
          <w:b w:val="0"/>
          <w:sz w:val="24"/>
        </w:rPr>
        <w:t xml:space="preserve"> 表明 PEM 电解条件下（电流密度高达 </w:t>
      </w:r>
      <w:r>
        <w:rPr>
          <w:rFonts w:ascii="Times New Roman" w:hAnsi="Times New Roman" w:eastAsia="宋体"/>
          <w:b/>
          <w:sz w:val="24"/>
        </w:rPr>
        <w:t>2.30 A·cm⁻²</w:t>
      </w:r>
      <w:r>
        <w:rPr>
          <w:rFonts w:ascii="Times New Roman" w:hAnsi="Times New Roman" w:eastAsia="宋体"/>
          <w:b w:val="0"/>
          <w:sz w:val="24"/>
        </w:rPr>
        <w:t>）</w:t>
      </w:r>
      <w:r>
        <w:rPr>
          <w:rFonts w:ascii="Times New Roman" w:hAnsi="Times New Roman" w:eastAsia="宋体"/>
          <w:b/>
          <w:sz w:val="24"/>
        </w:rPr>
        <w:t>高价 IrVI 态得以保持</w:t>
      </w:r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S1]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S3]）——这是本文最具说服力的一环：不仅"做出来"，而且"在真实器件里活着"。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3.3 性能与稳定性数据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</w:tblGrid>
      <w:tr>
        <w:tc>
          <w:tcPr>
            <w:tcW w:type="dxa" w:w="3267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指标</w:t>
            </w:r>
          </w:p>
        </w:tc>
        <w:tc>
          <w:tcPr>
            <w:tcW w:type="dxa" w:w="4477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数值</w:t>
            </w:r>
          </w:p>
        </w:tc>
        <w:tc>
          <w:tcPr>
            <w:tcW w:type="dxa" w:w="718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来源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质量比活性（三电极，1 M H₂SO₄，1.6 V_RHE，0.02 mg_Ir·cm⁻²）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比基准 IrO₂ </w:t>
            </w:r>
            <w:r>
              <w:rPr>
                <w:rFonts w:ascii="Times New Roman" w:hAnsi="Times New Roman" w:eastAsia="宋体"/>
                <w:b/>
                <w:sz w:val="24"/>
              </w:rPr>
              <w:t>高 10 倍</w:t>
            </w:r>
            <w:r>
              <w:rPr>
                <w:rFonts w:ascii="Times New Roman" w:hAnsi="Times New Roman" w:eastAsia="宋体"/>
                <w:b w:val="0"/>
                <w:sz w:val="24"/>
              </w:rPr>
              <w:t>（ECSA 归一趋势一致）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[</w:t>
            </w:r>
            <w:r>
              <w:rPr>
                <w:rFonts w:ascii="Times New Roman" w:hAnsi="Times New Roman" w:eastAsia="宋体"/>
                <w:b w:val="0"/>
                <w:sz w:val="24"/>
              </w:rPr>
              <w:t>S3] ⚠️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质量比活性（最高报道值，1.75 V）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1.7×10⁵ A·g_Ir⁻¹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[</w:t>
            </w:r>
            <w:r>
              <w:rPr>
                <w:rFonts w:ascii="Times New Roman" w:hAnsi="Times New Roman" w:eastAsia="宋体"/>
                <w:b w:val="0"/>
                <w:sz w:val="24"/>
              </w:rPr>
              <w:t>S1]</w:t>
            </w:r>
            <w:r>
              <w:rPr>
                <w:rFonts w:ascii="Times New Roman" w:hAnsi="Times New Roman" w:eastAsia="宋体"/>
                <w:b w:val="0"/>
                <w:sz w:val="24"/>
              </w:rPr>
              <w:t>[</w:t>
            </w:r>
            <w:r>
              <w:rPr>
                <w:rFonts w:ascii="Times New Roman" w:hAnsi="Times New Roman" w:eastAsia="宋体"/>
                <w:b w:val="0"/>
                <w:sz w:val="24"/>
              </w:rPr>
              <w:t>S3]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周转数 TON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1.5×10⁸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[</w:t>
            </w:r>
            <w:r>
              <w:rPr>
                <w:rFonts w:ascii="Times New Roman" w:hAnsi="Times New Roman" w:eastAsia="宋体"/>
                <w:b w:val="0"/>
                <w:sz w:val="24"/>
              </w:rPr>
              <w:t>S1]</w:t>
            </w:r>
            <w:r>
              <w:rPr>
                <w:rFonts w:ascii="Times New Roman" w:hAnsi="Times New Roman" w:eastAsia="宋体"/>
                <w:b w:val="0"/>
                <w:sz w:val="24"/>
              </w:rPr>
              <w:t>[</w:t>
            </w:r>
            <w:r>
              <w:rPr>
                <w:rFonts w:ascii="Times New Roman" w:hAnsi="Times New Roman" w:eastAsia="宋体"/>
                <w:b w:val="0"/>
                <w:sz w:val="24"/>
              </w:rPr>
              <w:t>S3]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PEM 器件（Nafion 115，80 °C，0.08 mg_Ir·cm⁻²）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2.0 V 时 </w:t>
            </w:r>
            <w:r>
              <w:rPr>
                <w:rFonts w:ascii="Times New Roman" w:hAnsi="Times New Roman" w:eastAsia="宋体"/>
                <w:b/>
                <w:sz w:val="24"/>
              </w:rPr>
              <w:t>4.0 A·cm⁻²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；换 Nafion 212 可达 </w:t>
            </w:r>
            <w:r>
              <w:rPr>
                <w:rFonts w:ascii="Times New Roman" w:hAnsi="Times New Roman" w:eastAsia="宋体"/>
                <w:b/>
                <w:sz w:val="24"/>
              </w:rPr>
              <w:t>7.0 A·cm⁻²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⚠️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[</w:t>
            </w:r>
            <w:r>
              <w:rPr>
                <w:rFonts w:ascii="Times New Roman" w:hAnsi="Times New Roman" w:eastAsia="宋体"/>
                <w:b w:val="0"/>
                <w:sz w:val="24"/>
              </w:rPr>
              <w:t>S3]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长测 ①（5×10⁴ A·g_Ir⁻¹）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1710 h</w:t>
            </w:r>
            <w:r>
              <w:rPr>
                <w:rFonts w:ascii="Times New Roman" w:hAnsi="Times New Roman" w:eastAsia="宋体"/>
                <w:b w:val="0"/>
                <w:sz w:val="24"/>
              </w:rPr>
              <w:t>，对应 TON 1.5×10⁸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[</w:t>
            </w:r>
            <w:r>
              <w:rPr>
                <w:rFonts w:ascii="Times New Roman" w:hAnsi="Times New Roman" w:eastAsia="宋体"/>
                <w:b w:val="0"/>
                <w:sz w:val="24"/>
              </w:rPr>
              <w:t>S3] ⚠️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长测 ②③（1.25×10⁴ / 2.5×10⁴ A·g_Ir⁻¹）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3700 h / 2100 h</w:t>
            </w:r>
            <w:r>
              <w:rPr>
                <w:rFonts w:ascii="Times New Roman" w:hAnsi="Times New Roman" w:eastAsia="宋体"/>
                <w:b w:val="0"/>
                <w:sz w:val="24"/>
              </w:rPr>
              <w:t>，TON 约 10⁸ 量级 ⚠️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[</w:t>
            </w:r>
            <w:r>
              <w:rPr>
                <w:rFonts w:ascii="Times New Roman" w:hAnsi="Times New Roman" w:eastAsia="宋体"/>
                <w:b w:val="0"/>
                <w:sz w:val="24"/>
              </w:rPr>
              <w:t>S3]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器件级耐久（官方新闻稿表述）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3000+ 小时</w:t>
            </w:r>
            <w:r>
              <w:rPr>
                <w:rFonts w:ascii="Times New Roman" w:hAnsi="Times New Roman" w:eastAsia="宋体"/>
                <w:b w:val="0"/>
                <w:sz w:val="24"/>
              </w:rPr>
              <w:t>连续产氢、</w:t>
            </w:r>
            <w:r>
              <w:rPr>
                <w:rFonts w:ascii="Times New Roman" w:hAnsi="Times New Roman" w:eastAsia="宋体"/>
                <w:b/>
                <w:sz w:val="24"/>
              </w:rPr>
              <w:t>82% 效率、无衰减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[</w:t>
            </w:r>
            <w:r>
              <w:rPr>
                <w:rFonts w:ascii="Times New Roman" w:hAnsi="Times New Roman" w:eastAsia="宋体"/>
                <w:b w:val="0"/>
                <w:sz w:val="24"/>
              </w:rPr>
              <w:t>S2]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降铱幅度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约 95%</w:t>
            </w:r>
            <w:r>
              <w:rPr>
                <w:rFonts w:ascii="Times New Roman" w:hAnsi="Times New Roman" w:eastAsia="宋体"/>
                <w:b w:val="0"/>
                <w:sz w:val="24"/>
              </w:rPr>
              <w:t>（</w:t>
            </w:r>
            <w:r>
              <w:rPr>
                <w:rFonts w:ascii="Times New Roman" w:hAnsi="Times New Roman" w:eastAsia="宋体"/>
                <w:b w:val="0"/>
                <w:sz w:val="24"/>
              </w:rPr>
              <w:t>[</w:t>
            </w:r>
            <w:r>
              <w:rPr>
                <w:rFonts w:ascii="Times New Roman" w:hAnsi="Times New Roman" w:eastAsia="宋体"/>
                <w:b w:val="0"/>
                <w:sz w:val="24"/>
              </w:rPr>
              <w:t>S2]）／</w:t>
            </w:r>
            <w:r>
              <w:rPr>
                <w:rFonts w:ascii="Times New Roman" w:hAnsi="Times New Roman" w:eastAsia="宋体"/>
                <w:b/>
                <w:sz w:val="24"/>
              </w:rPr>
              <w:t>&gt;96%</w:t>
            </w:r>
            <w:r>
              <w:rPr>
                <w:rFonts w:ascii="Times New Roman" w:hAnsi="Times New Roman" w:eastAsia="宋体"/>
                <w:b w:val="0"/>
                <w:sz w:val="24"/>
              </w:rPr>
              <w:t>（</w:t>
            </w:r>
            <w:r>
              <w:rPr>
                <w:rFonts w:ascii="Times New Roman" w:hAnsi="Times New Roman" w:eastAsia="宋体"/>
                <w:b w:val="0"/>
                <w:sz w:val="24"/>
              </w:rPr>
              <w:t>[</w:t>
            </w:r>
            <w:r>
              <w:rPr>
                <w:rFonts w:ascii="Times New Roman" w:hAnsi="Times New Roman" w:eastAsia="宋体"/>
                <w:b w:val="0"/>
                <w:sz w:val="24"/>
              </w:rPr>
              <w:t>S3]，以 2–4 mg_Ir·cm⁻² → 0.08 mg_Ir·cm⁻² 计）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[</w:t>
            </w:r>
            <w:r>
              <w:rPr>
                <w:rFonts w:ascii="Times New Roman" w:hAnsi="Times New Roman" w:eastAsia="宋体"/>
                <w:b w:val="0"/>
                <w:sz w:val="24"/>
              </w:rPr>
              <w:t>S2]</w:t>
            </w:r>
            <w:r>
              <w:rPr>
                <w:rFonts w:ascii="Times New Roman" w:hAnsi="Times New Roman" w:eastAsia="宋体"/>
                <w:b w:val="0"/>
                <w:sz w:val="24"/>
              </w:rPr>
              <w:t>[</w:t>
            </w:r>
            <w:r>
              <w:rPr>
                <w:rFonts w:ascii="Times New Roman" w:hAnsi="Times New Roman" w:eastAsia="宋体"/>
                <w:b w:val="0"/>
                <w:sz w:val="24"/>
              </w:rPr>
              <w:t>S3] ⚠️</w:t>
            </w:r>
          </w:p>
        </w:tc>
      </w:tr>
    </w:tbl>
    <w:p/>
    <w:p/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⚠️ 两组表述存在口径差异（95% vs &gt;96%；3000 h vs 1710 h），很可能对应不同测试条件（电流密度/载量/器件），</w:t>
      </w:r>
      <w:r>
        <w:rPr>
          <w:rFonts w:ascii="Times New Roman" w:hAnsi="Times New Roman" w:eastAsia="宋体"/>
          <w:b/>
          <w:sz w:val="24"/>
        </w:rPr>
        <w:t>必须在原文中确认</w:t>
      </w:r>
      <w:r>
        <w:rPr>
          <w:rFonts w:ascii="Times New Roman" w:hAnsi="Times New Roman" w:eastAsia="宋体"/>
          <w:b w:val="0"/>
          <w:sz w:val="24"/>
        </w:rPr>
        <w:t>——见第六节。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3.4 理论背景：为什么是六价铱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S3] 转述原文：作者此前用</w:t>
      </w:r>
      <w:r>
        <w:rPr>
          <w:rFonts w:ascii="Times New Roman" w:hAnsi="Times New Roman" w:eastAsia="宋体"/>
          <w:b/>
          <w:sz w:val="24"/>
        </w:rPr>
        <w:t>主动学习算法</w:t>
      </w:r>
      <w:r>
        <w:rPr>
          <w:rFonts w:ascii="Times New Roman" w:hAnsi="Times New Roman" w:eastAsia="宋体"/>
          <w:b w:val="0"/>
          <w:sz w:val="24"/>
        </w:rPr>
        <w:t xml:space="preserve">分析了数千种氧化铱的水电解性能，预测 </w:t>
      </w:r>
      <w:r>
        <w:rPr>
          <w:rFonts w:ascii="Times New Roman" w:hAnsi="Times New Roman" w:eastAsia="宋体"/>
          <w:b/>
          <w:sz w:val="24"/>
        </w:rPr>
        <w:t>IrVI（IrO₃ 类）在酸中活性与稳定性最高</w:t>
      </w:r>
      <w:r>
        <w:rPr>
          <w:rFonts w:ascii="Times New Roman" w:hAnsi="Times New Roman" w:eastAsia="宋体"/>
          <w:b w:val="0"/>
          <w:sz w:val="24"/>
        </w:rPr>
        <w:t>，但因酸性条件下阳离子易浸出，其实验实现长期未果。本文用 MnO₂ 的氧化性配体取代绕过这一障碍。这一"</w:t>
      </w:r>
      <w:r>
        <w:rPr>
          <w:rFonts w:ascii="Times New Roman" w:hAnsi="Times New Roman" w:eastAsia="宋体"/>
          <w:b/>
          <w:sz w:val="24"/>
        </w:rPr>
        <w:t>理论预测 → 合成化学手段实现</w:t>
      </w:r>
      <w:r>
        <w:rPr>
          <w:rFonts w:ascii="Times New Roman" w:hAnsi="Times New Roman" w:eastAsia="宋体"/>
          <w:b w:val="0"/>
          <w:sz w:val="24"/>
        </w:rPr>
        <w:t>"的路径，本身就是课题65 可以借用的叙事模板（先有描述符预测，再有合成验证）。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IrVI 的亚稳性（本工作的立题难点）</w:t>
      </w:r>
      <w:r>
        <w:rPr>
          <w:rFonts w:ascii="Times New Roman" w:hAnsi="Times New Roman" w:eastAsia="宋体"/>
          <w:b w:val="0"/>
          <w:sz w:val="24"/>
        </w:rPr>
        <w:t xml:space="preserve">：六价铱在酸中热力学倾向溶解，必须靠 MnO₂ 提供的特殊配位/电子环境"锁住"；一旦局域结构破坏即失活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S1]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S3]。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氧化性配体取代的窗口控制</w:t>
      </w:r>
      <w:r>
        <w:rPr>
          <w:rFonts w:ascii="Times New Roman" w:hAnsi="Times New Roman" w:eastAsia="宋体"/>
          <w:b w:val="0"/>
          <w:sz w:val="24"/>
        </w:rPr>
        <w:t xml:space="preserve">：MnO₂ 既要作氧化剂又须保持自身结构完整，K₂IrCl₆ 的 Cl⁻ 配体需被 O²⁻ 完整替换、且不能过度氧化形成可溶 IrO₄⁻ 类物种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S1]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S3]。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超低载量下的均匀性与表征</w:t>
      </w:r>
      <w:r>
        <w:rPr>
          <w:rFonts w:ascii="Times New Roman" w:hAnsi="Times New Roman" w:eastAsia="宋体"/>
          <w:b w:val="0"/>
          <w:sz w:val="24"/>
        </w:rPr>
        <w:t>：0.02–0.08 mg_Ir·cm⁻² 时 Ir 总量极低，</w:t>
      </w:r>
      <w:r>
        <w:rPr>
          <w:rFonts w:ascii="Times New Roman" w:hAnsi="Times New Roman" w:eastAsia="宋体"/>
          <w:b/>
          <w:sz w:val="24"/>
        </w:rPr>
        <w:t>普通 XAS/XPS 信噪比与取样代表性都是挑战</w:t>
      </w:r>
      <w:r>
        <w:rPr>
          <w:rFonts w:ascii="Times New Roman" w:hAnsi="Times New Roman" w:eastAsia="宋体"/>
          <w:b w:val="0"/>
          <w:sz w:val="24"/>
        </w:rPr>
        <w:t>（这也是本文必须上 HERFD-XANES 与 HAADF-STEM 的原因）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S3]。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工况原位 X 射线实验的门槛</w:t>
      </w:r>
      <w:r>
        <w:rPr>
          <w:rFonts w:ascii="Times New Roman" w:hAnsi="Times New Roman" w:eastAsia="宋体"/>
          <w:b w:val="0"/>
          <w:sz w:val="24"/>
        </w:rPr>
        <w:t>：PEM 运行中做原位 XAS 需要同步辐射线站（SPring-8）+ 定制电解池，属高门槛能力（作者团队含 8 位光源线站人员）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S1]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S3]。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与工业要求的差距（官方承认）</w:t>
      </w:r>
      <w:r>
        <w:rPr>
          <w:rFonts w:ascii="Times New Roman" w:hAnsi="Times New Roman" w:eastAsia="宋体"/>
          <w:b w:val="0"/>
          <w:sz w:val="24"/>
        </w:rPr>
        <w:t>：新闻稿明确指出，</w:t>
      </w:r>
      <w:r>
        <w:rPr>
          <w:rFonts w:ascii="Times New Roman" w:hAnsi="Times New Roman" w:eastAsia="宋体"/>
          <w:b/>
          <w:sz w:val="24"/>
        </w:rPr>
        <w:t>工业应用通常要求 1000 mA·cm⁻² 稳定运行数年</w:t>
      </w:r>
      <w:r>
        <w:rPr>
          <w:rFonts w:ascii="Times New Roman" w:hAnsi="Times New Roman" w:eastAsia="宋体"/>
          <w:b w:val="0"/>
          <w:sz w:val="24"/>
        </w:rPr>
        <w:t xml:space="preserve">，而非数月；"3000 小时"仍是实验室尺度成绩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S2]。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资源约束的量化版本</w:t>
      </w:r>
      <w:r>
        <w:rPr>
          <w:rFonts w:ascii="Times New Roman" w:hAnsi="Times New Roman" w:eastAsia="宋体"/>
          <w:b w:val="0"/>
          <w:sz w:val="24"/>
        </w:rPr>
        <w:t xml:space="preserve">：Ir 年产约 8 t、现有载量 2–4 mg_Ir·cm⁻² 支撑约 10 GW/yr 装机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S3]——本工作把需求压缩约一个数量级，但</w:t>
      </w:r>
      <w:r>
        <w:rPr>
          <w:rFonts w:ascii="Times New Roman" w:hAnsi="Times New Roman" w:eastAsia="宋体"/>
          <w:b/>
          <w:sz w:val="24"/>
        </w:rPr>
        <w:t>若 PEM 要上太瓦级，仍需继续降铱或走向无铱</w:t>
      </w:r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S2] 引语：太瓦级需 40 年的铱产量）。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可借鉴点（课题65 实验设计可直接采用）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验证"载体参与电子调控"的对照实验</w:t>
      </w:r>
      <w:r>
        <w:rPr>
          <w:rFonts w:ascii="Times New Roman" w:hAnsi="Times New Roman" w:eastAsia="宋体"/>
          <w:b w:val="0"/>
          <w:sz w:val="24"/>
        </w:rPr>
        <w:t>：设四组——纯 MnO₂、纯 IrO₂（同法合成）、IrO₂/MnO₂ 异质结、机械混合样；用 XPS 4f 与 Mn 2p/3s 价态变化判断电子转移方向（本文用"MnO₂ 把 Ir 氧化到 +6"给出了极端案例，课题65 可检验微波条件下是否出现同向或反向转移）。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低载量梯度矩阵（直接对标）</w:t>
      </w:r>
      <w:r>
        <w:rPr>
          <w:rFonts w:ascii="Times New Roman" w:hAnsi="Times New Roman" w:eastAsia="宋体"/>
          <w:b w:val="0"/>
          <w:sz w:val="24"/>
        </w:rPr>
        <w:t>：0.02 / 0.04 / 0.08 mg_Ir·cm⁻² 三档起步（外加 0.15–0.3 mg 档作对照），每档做 XRD/XPS/Raman/EDS + η₁₀、质量活性（A·g_Ir⁻¹）、TOF、ECSA 归一——复刻本文"载量不改变主物种、但不改变活性趋势"的论证结构。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稳定性测试双尺度</w:t>
      </w:r>
      <w:r>
        <w:rPr>
          <w:rFonts w:ascii="Times New Roman" w:hAnsi="Times New Roman" w:eastAsia="宋体"/>
          <w:b w:val="0"/>
          <w:sz w:val="24"/>
        </w:rPr>
        <w:t>：三电极恒流长测（≥1000 h 量级）+ MEA 器件长测；</w:t>
      </w:r>
      <w:r>
        <w:rPr>
          <w:rFonts w:ascii="Times New Roman" w:hAnsi="Times New Roman" w:eastAsia="宋体"/>
          <w:b/>
          <w:sz w:val="24"/>
        </w:rPr>
        <w:t>并采用单程给水模式</w:t>
      </w:r>
      <w:r>
        <w:rPr>
          <w:rFonts w:ascii="Times New Roman" w:hAnsi="Times New Roman" w:eastAsia="宋体"/>
          <w:b w:val="0"/>
          <w:sz w:val="24"/>
        </w:rPr>
        <w:t xml:space="preserve">（我此前的 APB 2025 精读结论：循环给水会把 Ir 反输运再沉积、掩盖真实溶解）；有条件则报 </w:t>
      </w:r>
      <w:r>
        <w:rPr>
          <w:rFonts w:ascii="Times New Roman" w:hAnsi="Times New Roman" w:eastAsia="宋体"/>
          <w:b/>
          <w:sz w:val="24"/>
        </w:rPr>
        <w:t>S-number</w:t>
      </w:r>
      <w:r>
        <w:rPr>
          <w:rFonts w:ascii="Times New Roman" w:hAnsi="Times New Roman" w:eastAsia="宋体"/>
          <w:b w:val="0"/>
          <w:sz w:val="24"/>
        </w:rPr>
        <w:t>（Yang2025）以便与本文 TON 体系对话。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氧化态归属的严谨写法</w:t>
      </w:r>
      <w:r>
        <w:rPr>
          <w:rFonts w:ascii="Times New Roman" w:hAnsi="Times New Roman" w:eastAsia="宋体"/>
          <w:b w:val="0"/>
          <w:sz w:val="24"/>
        </w:rPr>
        <w:t>：若不能做 HERFD-XANES，则以 XPS 4f 分峰 + 至少两个已知价态参考样品建立标定曲线，并在文中如实标注归属置信度（Reier 2017 明确指出的领域通病）。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阳极载体与电极结构</w:t>
      </w:r>
      <w:r>
        <w:rPr>
          <w:rFonts w:ascii="Times New Roman" w:hAnsi="Times New Roman" w:eastAsia="宋体"/>
          <w:b w:val="0"/>
          <w:sz w:val="24"/>
        </w:rPr>
        <w:t>：本文采用"MnO₂ 电沉积于 Pt 涂层 Ti 网"——课题65 若做 MEA 验证，应同样采用耐酸耐电位的 PTL/载体组合（避免碳载体在阳极电位下氧化为 CO₂）。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叙事结构模板</w:t>
      </w:r>
      <w:r>
        <w:rPr>
          <w:rFonts w:ascii="Times New Roman" w:hAnsi="Times New Roman" w:eastAsia="宋体"/>
          <w:b w:val="0"/>
          <w:sz w:val="24"/>
        </w:rPr>
        <w:t>：理论/描述符预测（IrVI 最优）→ 关键合成化学突破（MnO₂ 氧化性配体取代）→ 多尺度证据链（HERFD-XANES/XPS/HAADF-STEM → 三电极 → 原位工况 XAS → PEM 长测）→ 产业意义（降铱 95%）。课题65 的结题论文与 CA2 汇报可直接沿用这一"预测—实现—证据—意义"骨架。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延伸思考与《待核对清单》（拿到原文后逐项校验）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延伸思考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本文把 Ir 推到 </w:t>
      </w:r>
      <w:r>
        <w:rPr>
          <w:rFonts w:ascii="Times New Roman" w:hAnsi="Times New Roman" w:eastAsia="宋体"/>
          <w:b/>
          <w:sz w:val="24"/>
        </w:rPr>
        <w:t>+6 价（d³）</w:t>
      </w:r>
      <w:r>
        <w:rPr>
          <w:rFonts w:ascii="Times New Roman" w:hAnsi="Times New Roman" w:eastAsia="宋体"/>
          <w:b w:val="0"/>
          <w:sz w:val="24"/>
        </w:rPr>
        <w:t>并稳定住，与 Yang 2025 把 IrO₂ 通过 S 掺杂推向</w:t>
      </w:r>
      <w:r>
        <w:rPr>
          <w:rFonts w:ascii="Times New Roman" w:hAnsi="Times New Roman" w:eastAsia="宋体"/>
          <w:b/>
          <w:sz w:val="24"/>
        </w:rPr>
        <w:t>单中心 LOM + ONB 保护</w:t>
      </w:r>
      <w:r>
        <w:rPr>
          <w:rFonts w:ascii="Times New Roman" w:hAnsi="Times New Roman" w:eastAsia="宋体"/>
          <w:b w:val="0"/>
          <w:sz w:val="24"/>
        </w:rPr>
        <w:t>是两条不同的稳定化哲学：前者调控</w:t>
      </w:r>
      <w:r>
        <w:rPr>
          <w:rFonts w:ascii="Times New Roman" w:hAnsi="Times New Roman" w:eastAsia="宋体"/>
          <w:b/>
          <w:sz w:val="24"/>
        </w:rPr>
        <w:t>金属价态与配位环境</w:t>
      </w:r>
      <w:r>
        <w:rPr>
          <w:rFonts w:ascii="Times New Roman" w:hAnsi="Times New Roman" w:eastAsia="宋体"/>
          <w:b w:val="0"/>
          <w:sz w:val="24"/>
        </w:rPr>
        <w:t>，后者调控</w:t>
      </w:r>
      <w:r>
        <w:rPr>
          <w:rFonts w:ascii="Times New Roman" w:hAnsi="Times New Roman" w:eastAsia="宋体"/>
          <w:b/>
          <w:sz w:val="24"/>
        </w:rPr>
        <w:t>反应路径与晶格氧活性</w:t>
      </w:r>
      <w:r>
        <w:rPr>
          <w:rFonts w:ascii="Times New Roman" w:hAnsi="Times New Roman" w:eastAsia="宋体"/>
          <w:b w:val="0"/>
          <w:sz w:val="24"/>
        </w:rPr>
        <w:t>。课题65 的 MnO₂–IrO₂ 体系理论上可同时触碰这两条线索（MnO₂ 供氧、界面供电子），是一个可以写成综述性讨论的交叉点。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若本文的 IrVI 在反应中同样走 </w:t>
      </w:r>
      <w:r>
        <w:rPr>
          <w:rFonts w:ascii="Times New Roman" w:hAnsi="Times New Roman" w:eastAsia="宋体"/>
          <w:b/>
          <w:sz w:val="24"/>
        </w:rPr>
        <w:t>LOM</w:t>
      </w:r>
      <w:r>
        <w:rPr>
          <w:rFonts w:ascii="Times New Roman" w:hAnsi="Times New Roman" w:eastAsia="宋体"/>
          <w:b w:val="0"/>
          <w:sz w:val="24"/>
        </w:rPr>
        <w:t>（高价位金属-氧共价性通常更强），那么"高活性 vs 晶格氧流失"的矛盾将以另一种方式重现——值得在原文中查证作者的机理归属（是否做了 ¹⁸O DEMS、质子反应级数等 LOM 判据）。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待核对清单（原文到手后必查）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 xml:space="preserve">降铱幅度 </w:t>
      </w:r>
      <w:r>
        <w:rPr>
          <w:rFonts w:ascii="Times New Roman" w:hAnsi="Times New Roman" w:eastAsia="宋体"/>
          <w:b/>
          <w:sz w:val="24"/>
        </w:rPr>
        <w:t>95%（</w:t>
      </w:r>
      <w:r>
        <w:rPr>
          <w:rFonts w:ascii="Times New Roman" w:hAnsi="Times New Roman" w:eastAsia="宋体"/>
          <w:b/>
          <w:sz w:val="24"/>
        </w:rPr>
        <w:t>[</w:t>
      </w:r>
      <w:r>
        <w:rPr>
          <w:rFonts w:ascii="Times New Roman" w:hAnsi="Times New Roman" w:eastAsia="宋体"/>
          <w:b/>
          <w:sz w:val="24"/>
        </w:rPr>
        <w:t>S2]）vs &gt;96%（</w:t>
      </w:r>
      <w:r>
        <w:rPr>
          <w:rFonts w:ascii="Times New Roman" w:hAnsi="Times New Roman" w:eastAsia="宋体"/>
          <w:b/>
          <w:sz w:val="24"/>
        </w:rPr>
        <w:t>[</w:t>
      </w:r>
      <w:r>
        <w:rPr>
          <w:rFonts w:ascii="Times New Roman" w:hAnsi="Times New Roman" w:eastAsia="宋体"/>
          <w:b/>
          <w:sz w:val="24"/>
        </w:rPr>
        <w:t>S3]）</w:t>
      </w:r>
      <w:r>
        <w:rPr>
          <w:rFonts w:ascii="Times New Roman" w:hAnsi="Times New Roman" w:eastAsia="宋体"/>
          <w:b w:val="0"/>
          <w:sz w:val="24"/>
        </w:rPr>
        <w:t xml:space="preserve"> 的口径差异；基准载量取值（2–4 mg_Ir·cm⁻² 的来源与年代）。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耐久时长口径：</w:t>
      </w:r>
      <w:r>
        <w:rPr>
          <w:rFonts w:ascii="Times New Roman" w:hAnsi="Times New Roman" w:eastAsia="宋体"/>
          <w:b/>
          <w:sz w:val="24"/>
        </w:rPr>
        <w:t>3000+ h（</w:t>
      </w:r>
      <w:r>
        <w:rPr>
          <w:rFonts w:ascii="Times New Roman" w:hAnsi="Times New Roman" w:eastAsia="宋体"/>
          <w:b/>
          <w:sz w:val="24"/>
        </w:rPr>
        <w:t>[</w:t>
      </w:r>
      <w:r>
        <w:rPr>
          <w:rFonts w:ascii="Times New Roman" w:hAnsi="Times New Roman" w:eastAsia="宋体"/>
          <w:b/>
          <w:sz w:val="24"/>
        </w:rPr>
        <w:t>S2]）</w:t>
      </w:r>
      <w:r>
        <w:rPr>
          <w:rFonts w:ascii="Times New Roman" w:hAnsi="Times New Roman" w:eastAsia="宋体"/>
          <w:b w:val="0"/>
          <w:sz w:val="24"/>
        </w:rPr>
        <w:t xml:space="preserve"> 与 </w:t>
      </w:r>
      <w:r>
        <w:rPr>
          <w:rFonts w:ascii="Times New Roman" w:hAnsi="Times New Roman" w:eastAsia="宋体"/>
          <w:b/>
          <w:sz w:val="24"/>
        </w:rPr>
        <w:t>1710 h @5×10⁴ A·g_Ir⁻¹（</w:t>
      </w:r>
      <w:r>
        <w:rPr>
          <w:rFonts w:ascii="Times New Roman" w:hAnsi="Times New Roman" w:eastAsia="宋体"/>
          <w:b/>
          <w:sz w:val="24"/>
        </w:rPr>
        <w:t>[</w:t>
      </w:r>
      <w:r>
        <w:rPr>
          <w:rFonts w:ascii="Times New Roman" w:hAnsi="Times New Roman" w:eastAsia="宋体"/>
          <w:b/>
          <w:sz w:val="24"/>
        </w:rPr>
        <w:t>S3]）</w:t>
      </w:r>
      <w:r>
        <w:rPr>
          <w:rFonts w:ascii="Times New Roman" w:hAnsi="Times New Roman" w:eastAsia="宋体"/>
          <w:b w:val="0"/>
          <w:sz w:val="24"/>
        </w:rPr>
        <w:t xml:space="preserve"> 各自的电流密度/载量/器件条件；"82% 效率"对应的电压与 LHV 算法。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 xml:space="preserve">HERFD-XANES 的 </w:t>
      </w:r>
      <w:r>
        <w:rPr>
          <w:rFonts w:ascii="Times New Roman" w:hAnsi="Times New Roman" w:eastAsia="宋体"/>
          <w:b/>
          <w:sz w:val="24"/>
        </w:rPr>
        <w:t>+5.8±0.1</w:t>
      </w:r>
      <w:r>
        <w:rPr>
          <w:rFonts w:ascii="Times New Roman" w:hAnsi="Times New Roman" w:eastAsia="宋体"/>
          <w:b w:val="0"/>
          <w:sz w:val="24"/>
        </w:rPr>
        <w:t xml:space="preserve"> 与 d³ 构型的原始拟合参数与误差范围。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 w:val="0"/>
          <w:sz w:val="24"/>
        </w:rPr>
        <w:t xml:space="preserve">XPS 定量 </w:t>
      </w:r>
      <w:r>
        <w:rPr>
          <w:rFonts w:ascii="Times New Roman" w:hAnsi="Times New Roman" w:eastAsia="宋体"/>
          <w:b/>
          <w:sz w:val="24"/>
        </w:rPr>
        <w:t>IrVI &gt;80%</w:t>
      </w:r>
      <w:r>
        <w:rPr>
          <w:rFonts w:ascii="Times New Roman" w:hAnsi="Times New Roman" w:eastAsia="宋体"/>
          <w:b w:val="0"/>
          <w:sz w:val="24"/>
        </w:rPr>
        <w:t xml:space="preserve"> 的分峰约束条件（是否固定半峰宽/自旋轨道劈裂）。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 w:val="0"/>
          <w:sz w:val="24"/>
        </w:rPr>
        <w:t xml:space="preserve">是否有 </w:t>
      </w:r>
      <w:r>
        <w:rPr>
          <w:rFonts w:ascii="Times New Roman" w:hAnsi="Times New Roman" w:eastAsia="宋体"/>
          <w:b/>
          <w:sz w:val="24"/>
        </w:rPr>
        <w:t>Mn 溶出</w:t>
      </w:r>
      <w:r>
        <w:rPr>
          <w:rFonts w:ascii="Times New Roman" w:hAnsi="Times New Roman" w:eastAsia="宋体"/>
          <w:b w:val="0"/>
          <w:sz w:val="24"/>
        </w:rPr>
        <w:t>数据（ICP-MS）、以及 MnO₂ 在 2.3 A·cm⁻² 下的结构稳定性证据。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 w:val="0"/>
          <w:sz w:val="24"/>
        </w:rPr>
        <w:t>机理归属：是否给出 LOM/AEM 判据（¹⁸O DEMS、质子反应级数、S-number）。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7. </w:t>
      </w:r>
      <w:r>
        <w:rPr>
          <w:rFonts w:ascii="Times New Roman" w:hAnsi="Times New Roman" w:eastAsia="宋体"/>
          <w:b/>
          <w:sz w:val="24"/>
        </w:rPr>
        <w:t>补充材料（Supplementary Materials）</w:t>
      </w:r>
      <w:r>
        <w:rPr>
          <w:rFonts w:ascii="Times New Roman" w:hAnsi="Times New Roman" w:eastAsia="宋体"/>
          <w:b w:val="0"/>
          <w:sz w:val="24"/>
        </w:rPr>
        <w:t>内容——本报告完全未见（science.org 对补充材料同样返回 403）。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8. </w:t>
      </w:r>
      <w:r>
        <w:rPr>
          <w:rFonts w:ascii="Times New Roman" w:hAnsi="Times New Roman" w:eastAsia="宋体"/>
          <w:b w:val="0"/>
          <w:sz w:val="24"/>
        </w:rPr>
        <w:t>是否有 Ir 溶解速率（µg·L⁻¹·h⁻¹）等可与 Yang 2025、Dam 2025 横向比较的数值。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9. </w:t>
      </w:r>
      <w:r>
        <w:rPr>
          <w:rFonts w:ascii="Times New Roman" w:hAnsi="Times New Roman" w:eastAsia="宋体"/>
          <w:b w:val="0"/>
          <w:sz w:val="24"/>
        </w:rPr>
        <w:t>主动学习筛选的规模与描述符（原文方法部分）。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10. </w:t>
      </w:r>
      <w:r>
        <w:rPr>
          <w:rFonts w:ascii="Times New Roman" w:hAnsi="Times New Roman" w:eastAsia="宋体"/>
          <w:b w:val="0"/>
          <w:sz w:val="24"/>
        </w:rPr>
        <w:t>与工业伙伴合作的催化剂改进细节（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S2] 提及但未给数据）。</w:t>
      </w:r>
    </w:p>
    <w:p/>
    <w:p>
      <w:pPr>
        <w:spacing w:before="120" w:after="120"/>
        <w:pBdr>
          <w:bottom w:val="single" w:sz="6" w:color="CCCCCC"/>
        </w:pBdr>
      </w:pPr>
    </w:p>
    <w:p/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替代版报告完 · 来源：Science 官方摘要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S1] + RIKEN 官方新闻稿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S2] + 纳米人技术解读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S3] + 同组前作新闻稿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S4]｜原文到手后请以原文为准并升级为正式版（V2）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