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9.24 汇报 · 讲解骨架 v5（对着 9.24-v5.pptx 讲 · 脱稿用）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编制日期：2026年09月28日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编制：2026-09-28 ｜ 对应 PPT：</w:t>
      </w:r>
      <w:r>
        <w:rPr>
          <w:rFonts w:ascii="Times New Roman" w:hAnsi="Times New Roman" w:eastAsia="宋体"/>
          <w:b/>
          <w:sz w:val="24"/>
        </w:rPr>
        <w:t>9.24-v5.pptx</w:t>
      </w:r>
      <w:r>
        <w:rPr>
          <w:rFonts w:ascii="Times New Roman" w:hAnsi="Times New Roman" w:eastAsia="宋体"/>
          <w:b w:val="0"/>
          <w:sz w:val="24"/>
        </w:rPr>
        <w:t>（10 页：封面 + 页码 1–9）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用法：</w:t>
      </w:r>
      <w:r>
        <w:rPr>
          <w:rFonts w:ascii="Times New Roman" w:hAnsi="Times New Roman" w:eastAsia="宋体"/>
          <w:b/>
          <w:sz w:val="24"/>
        </w:rPr>
        <w:t>每页只记 3–5 个关键词，话由词生</w:t>
      </w:r>
      <w:r>
        <w:rPr>
          <w:rFonts w:ascii="Times New Roman" w:hAnsi="Times New Roman" w:eastAsia="宋体"/>
          <w:b w:val="0"/>
          <w:sz w:val="24"/>
        </w:rPr>
        <w:t>。左栏是 PPT 上留下的字，右栏是你自己说的台词。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导师意见已落实：</w:t>
      </w:r>
      <w:r>
        <w:rPr>
          <w:rFonts w:ascii="Times New Roman" w:hAnsi="Times New Roman" w:eastAsia="宋体"/>
          <w:b/>
          <w:sz w:val="24"/>
        </w:rPr>
        <w:t>PPT 只留要点，解释句全部移到本文件的「口述台词」里。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封面 ｜ 0:30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PPT 上</w:t>
      </w:r>
      <w:r>
        <w:rPr>
          <w:rFonts w:ascii="Times New Roman" w:hAnsi="Times New Roman" w:eastAsia="宋体"/>
          <w:b w:val="0"/>
          <w:sz w:val="24"/>
        </w:rPr>
        <w:t>：题目、姓名、导师、日期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口述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Good afternoon. I am Zhao Shen, from the NUS–ECUST joint programme.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My topic is stabilizing ruthenium through Ru–O–Mn interfacial coupling for acidic oxygen evolution.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I will cover three parts: background, mechanism and route, and the experiment plan.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P1 · 氢能背景 ｜ 0:50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PPT 上</w:t>
      </w:r>
      <w:r>
        <w:rPr>
          <w:rFonts w:ascii="Times New Roman" w:hAnsi="Times New Roman" w:eastAsia="宋体"/>
          <w:b w:val="0"/>
          <w:sz w:val="24"/>
        </w:rPr>
        <w:t>（只留两行）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About 100 Mt H2 a year; low-emission H2 is still under 1%.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bottleneck is the route, not the molecule.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口述台词</w:t>
      </w:r>
      <w:r>
        <w:rPr>
          <w:rFonts w:ascii="Times New Roman" w:hAnsi="Times New Roman" w:eastAsia="宋体"/>
          <w:b w:val="0"/>
          <w:sz w:val="24"/>
        </w:rPr>
        <w:t>（PPT 上没有，靠你说）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Hydrogen production is about 100 Mt per year, and it is still dominated by unabated fossil fuels; low-emission hydrogen from electrolysis is only about 1 Mt.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Demand will grow under announced pledges, so the production route — not the molecule — is the bottleneck, and in electrolysis the cost is set by the anode.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：指左柱图的三块占比 → 指右柱图的 0.3 / 1.0 / 4.0 Mt。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P2 · 电解水与两个半反应 ｜ 0:55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PPT 上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两个半反应式（阴极 HER / 阳极 OER）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OER is the bottleneck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Four electrons and four protons: the slow half-reaction.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Two environments, two material sets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Alkaline: cheap Ni, Co or Fe. Acid (PEM): only Ir or Ru.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结论行：</w:t>
      </w:r>
      <w:r>
        <w:rPr>
          <w:rFonts w:ascii="Consolas" w:hAnsi="Consolas" w:eastAsia="Consolas"/>
          <w:sz w:val="24"/>
          <w:shd w:fill="F0F0F0"/>
        </w:rPr>
        <w:t>The anode limits the whole cell.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口述台词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Four electrons and four protons move through several intermediates, so this half-reaction is slow and carries most of the cell overpotential.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Alkaline media allow cheap Ni, Co or Fe oxides, while acidic PEM requires iridium or ruthenium oxides.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：指左图阴极/膜/阳极 → 指两条方程 → 指两张卡。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P3 · 三机理对比 ｜ 1:10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PPT 上</w:t>
      </w:r>
      <w:r>
        <w:rPr>
          <w:rFonts w:ascii="Times New Roman" w:hAnsi="Times New Roman" w:eastAsia="宋体"/>
          <w:b w:val="0"/>
          <w:sz w:val="24"/>
        </w:rPr>
        <w:t>：三张循环图（OPM / AEM / LOM）+ 五行对比矩阵（晶格氧、位点、中间体、后果、谁催化第二个水）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口述台词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Three mechanisms, and the difference comes down to two questions.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First: is lattice oxygen consumed? No for AEM and OPM; yes for LOM, which leaves an oxygen vacancy.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Second: one site or two? AEM is single-site and must go through OOH; OPM couples two adjacent sites directly.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That is why we target OPM and avoid LOM in acid.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：三列依次指 → 每列在对应矩阵行停一下 → 最后指 OPM 那列。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P4 · AEM 的天花板 ｜ 0:55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PPT 上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The four steps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One site: H2O -&gt; OH -&gt; O -&gt; OOH -&gt; O2.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Why it is capped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*OH and *OOH are locked together by a ~3.2 eV scaling gap.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结论：</w:t>
      </w:r>
      <w:r>
        <w:rPr>
          <w:rFonts w:ascii="Consolas" w:hAnsi="Consolas" w:eastAsia="Consolas"/>
          <w:sz w:val="24"/>
          <w:shd w:fill="F0F0F0"/>
        </w:rPr>
        <w:t>Ideal steps are equal; real steps never are.</w:t>
      </w:r>
      <w:r>
        <w:rPr>
          <w:rFonts w:ascii="Times New Roman" w:hAnsi="Times New Roman" w:eastAsia="宋体"/>
          <w:b w:val="0"/>
          <w:sz w:val="24"/>
        </w:rPr>
        <w:t xml:space="preserve"> / </w:t>
      </w:r>
      <w:r>
        <w:rPr>
          <w:rFonts w:ascii="Consolas" w:hAnsi="Consolas" w:eastAsia="Consolas"/>
          <w:sz w:val="24"/>
          <w:shd w:fill="F0F0F0"/>
        </w:rPr>
        <w:t>Floor ~ 0.37 V: AEM cannot go below it.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口述台词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*OH and *OOH both bind through a single oxygen atom, so their adsorption energies move together.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AEM can be improved, but it can never go below that floor.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：指左图理想台阶（红）与实际台阶（蓝）的差额。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P5 · LOM 的代价 ｜ 0:55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PPT 上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When it switches on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When O 2p rises to E_F, lattice O leaves as O2.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What is left behind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Vacancy left behind -&gt; the metal dissolves in acid.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结论：</w:t>
      </w:r>
      <w:r>
        <w:rPr>
          <w:rFonts w:ascii="Consolas" w:hAnsi="Consolas" w:eastAsia="Consolas"/>
          <w:sz w:val="24"/>
          <w:shd w:fill="F0F0F0"/>
        </w:rPr>
        <w:t>Mott-Hubbard: the O 2p band rises towards E_F.</w:t>
      </w:r>
      <w:r>
        <w:rPr>
          <w:rFonts w:ascii="Times New Roman" w:hAnsi="Times New Roman" w:eastAsia="宋体"/>
          <w:b w:val="0"/>
          <w:sz w:val="24"/>
        </w:rPr>
        <w:t xml:space="preserve"> / </w:t>
      </w:r>
      <w:r>
        <w:rPr>
          <w:rFonts w:ascii="Consolas" w:hAnsi="Consolas" w:eastAsia="Consolas"/>
          <w:sz w:val="24"/>
          <w:shd w:fill="F0F0F0"/>
        </w:rPr>
        <w:t>LOM buys activity with the surface.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口述台词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It switches on once the non-bonding oxygen 2p states rise above the metal–oxygen band and approach the Fermi level.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vacancy stays, and the metal is released together with the oxygen — this is the dissolution channel we must avoid in acid.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：指能带图里的 O 2p 与 E_F → 指右侧红卡。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P6 · 平台：为什么是酸性 PEM ｜ 0:50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PPT 上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PEM matches renewable electricity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High current density; the anode sees ~1 M H+ (pH 0).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Only Ir and Ru oxides survive there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In acid only Ir or Ru survive - and Ir is the scarcest.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结论：</w:t>
      </w:r>
      <w:r>
        <w:rPr>
          <w:rFonts w:ascii="Consolas" w:hAnsi="Consolas" w:eastAsia="Consolas"/>
          <w:sz w:val="24"/>
          <w:shd w:fill="F0F0F0"/>
        </w:rPr>
        <w:t>This project is about durability at low noble-metal loading.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口述台词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PEM gives high current density, fast response and high-purity hydrogen, and the anode sees about 1 M proton activity (pH 0).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Alkaline systems can use Ni, Co or Fe oxides, but in acid the choice collapses to iridium and ruthenium — and iridium is the scarcest.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So the project is defined by durability at low noble-metal loading rather than by activity.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：指左图 PEM 单电池结构 → 指两张卡。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P7 · 元素：为什么是钌 ｜ 1:00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PPT 上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Why Ru and not Ir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More active than IrO2, far cheaper, more abundant.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Failure channel 1 — over-oxidation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Ru above +4 becomes soluble RuO4 and leaves.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Failure channel 2 — lattice oxygen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Lattice O leaves -&gt; vacancy -&gt; metal follows.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结论：</w:t>
      </w:r>
      <w:r>
        <w:rPr>
          <w:rFonts w:ascii="Consolas" w:hAnsi="Consolas" w:eastAsia="Consolas"/>
          <w:sz w:val="24"/>
          <w:shd w:fill="F0F0F0"/>
        </w:rPr>
        <w:t>Both channels act together: stability is proved by dissolution numbers.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口述台词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RuO2 is more active than IrO2, ruthenium is far cheaper and more abundant, and iridium supply is the ceiling for PEM deployment.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Ruthenium is oxidised beyond +4 into soluble RuO4 and leaves the electrode.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Lattice oxygen participates, a vacancy is left behind, and the metal follows the oxygen out.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metal redox and the oxygen redox must be controlled together, and the proof of stabilisation has to be a dissolution measurement.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：指左侧能带/电子转移图 → 依次指三张卡。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P8 · 解决方案：Ru 装进 MnO₂ 骨架 ｜ 1:00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PPT 上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Mn3+/Mn4+ buffers the charge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Holds Ru near +4 - outside the RuO4 window.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The metal goes inside the lattice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It drives Ru in, forming M-O-Mn bridges.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卡片：</w:t>
      </w:r>
      <w:r>
        <w:rPr>
          <w:rFonts w:ascii="Consolas" w:hAnsi="Consolas" w:eastAsia="Consolas"/>
          <w:sz w:val="24"/>
          <w:shd w:fill="F0F0F0"/>
        </w:rPr>
        <w:t>Electrodeposition makes it tunable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  <w:shd w:fill="F0F0F0"/>
        </w:rPr>
        <w:t>Charge, current and bath pH set the phase.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图注：</w:t>
      </w:r>
      <w:r>
        <w:rPr>
          <w:rFonts w:ascii="Consolas" w:hAnsi="Consolas" w:eastAsia="Consolas"/>
          <w:sz w:val="24"/>
          <w:shd w:fill="F0F0F0"/>
        </w:rPr>
        <w:t>Fig. 2: synthesis, structure and spectroscopy (a-h).</w:t>
      </w:r>
      <w:r>
        <w:rPr>
          <w:rFonts w:ascii="Times New Roman" w:hAnsi="Times New Roman" w:eastAsia="宋体"/>
          <w:b w:val="0"/>
          <w:sz w:val="24"/>
        </w:rPr>
        <w:t xml:space="preserve"> / </w:t>
      </w:r>
      <w:r>
        <w:rPr>
          <w:rFonts w:ascii="Consolas" w:hAnsi="Consolas" w:eastAsia="Consolas"/>
          <w:sz w:val="24"/>
          <w:shd w:fill="F0F0F0"/>
        </w:rPr>
        <w:t>Our job: electrodeposit it and prove Ru sits inside.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口述台词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MnO2 framework holds Ru near +4, outside the RuO4 window.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Electrodeposited MnO2 oxidises the metal and drives it into the lattice, forming M–O–Mn bridges; EXAFS shows the Ru–O–Mn shell.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Deposition charge, current and bath pH set the phase and the edge-site density.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被问到图注时补：</w:t>
      </w:r>
      <w:r>
        <w:rPr>
          <w:rFonts w:ascii="Consolas" w:hAnsi="Consolas" w:eastAsia="Consolas"/>
          <w:sz w:val="24"/>
          <w:shd w:fill="F0F0F0"/>
        </w:rPr>
        <w:t>Panel list: (a) synthesis route; (b) XRD of the Ru0.03Mn0.97O2 series; (c) atomic-resolution STEM; (d) EDS mapping; (e) intensity profiles; (f) Ru K-edge FT-EXAFS; (g) XANES; (h) Mn 3s XPS.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：指左侧 Fig. 2 的 a（合成）与 f–h（EXAFS/XANES/XPS）→ 指三张卡。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P9 · 实验计划：五步 ｜ 1:05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PPT 上</w:t>
      </w:r>
      <w:r>
        <w:rPr>
          <w:rFonts w:ascii="Times New Roman" w:hAnsi="Times New Roman" w:eastAsia="宋体"/>
          <w:b w:val="0"/>
          <w:sz w:val="24"/>
        </w:rPr>
        <w:t xml:space="preserve">：五步示意图（电沉积 / 宿主窗口 / 交换 / 证明 / 测试）+ 一行红字 </w:t>
      </w:r>
      <w:r>
        <w:rPr>
          <w:rFonts w:ascii="Consolas" w:hAnsi="Consolas" w:eastAsia="Consolas"/>
          <w:sz w:val="24"/>
          <w:shd w:fill="F0F0F0"/>
        </w:rPr>
        <w:t>First priority: the host window (step 2).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口述台词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one: electrodeposit MnO2 at 7 mA cm-2 for 15 minutes, about 6.3 C cm-2.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two is the host window: with no ruthenium loaded yet, ICP-MS measures manganese only — ruthenium is our blank.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We scan from 1.20 to 1.90 volts against RHE in six steps: the low end probes reductive dissolution to Mn2+, the high end oxidative dissolution to MnO4-, which shows up as the 839 cm-1 Raman band.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Only after the exchange do we repeat the same scan with manganese and ruthenium measured separately — that is when the question of which one dissolves first can be asked.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First priority is step two: find the host window — Mn2+ dissolves below, MnO4- above — before loading Ru.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 xml:space="preserve">：五个面板从左到右指；②停一秒指红框判据；③末尾指 </w:t>
      </w:r>
      <w:r>
        <w:rPr>
          <w:rFonts w:ascii="Consolas" w:hAnsi="Consolas" w:eastAsia="Consolas"/>
          <w:sz w:val="24"/>
          <w:shd w:fill="F0F0F0"/>
        </w:rPr>
        <w:t>then repeat scan</w:t>
      </w:r>
      <w:r>
        <w:rPr>
          <w:rFonts w:ascii="Times New Roman" w:hAnsi="Times New Roman" w:eastAsia="宋体"/>
          <w:b w:val="0"/>
          <w:sz w:val="24"/>
        </w:rPr>
        <w:t xml:space="preserve">；④指 </w:t>
      </w:r>
      <w:r>
        <w:rPr>
          <w:rFonts w:ascii="Consolas" w:hAnsi="Consolas" w:eastAsia="Consolas"/>
          <w:sz w:val="24"/>
          <w:shd w:fill="F0F0F0"/>
        </w:rPr>
        <w:t>Ru-O-Mn(Ru)</w:t>
      </w:r>
      <w:r>
        <w:rPr>
          <w:rFonts w:ascii="Times New Roman" w:hAnsi="Times New Roman" w:eastAsia="宋体"/>
          <w:b w:val="0"/>
          <w:sz w:val="24"/>
        </w:rPr>
        <w:t xml:space="preserve"> 标注。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收尾句（说完 P9 立刻说）｜ 0:25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Consolas" w:hAnsi="Consolas" w:eastAsia="Consolas"/>
          <w:sz w:val="24"/>
          <w:shd w:fill="F0F0F0"/>
        </w:rPr>
        <w:t>The literature gives the chemistry and the design rules; the contribution of this project is to make the Ru–O–Mn interface a controllable process.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Consolas" w:hAnsi="Consolas" w:eastAsia="Consolas"/>
          <w:sz w:val="24"/>
          <w:shd w:fill="F0F0F0"/>
        </w:rPr>
        <w:t>The first step is the dissolution scan, and I will report the ruthenium and manganese dissolution rates as a function of potential.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Consolas" w:hAnsi="Consolas" w:eastAsia="Consolas"/>
          <w:sz w:val="24"/>
          <w:shd w:fill="F0F0F0"/>
        </w:rPr>
        <w:t>Thank you. I am happy to take questions.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附：超时压缩顺序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67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情况</w:t>
            </w:r>
          </w:p>
        </w:tc>
        <w:tc>
          <w:tcPr>
            <w:tcW w:type="dxa" w:w="778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删什么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正常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全说（≈9–10 分钟）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8 分钟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删 P4 的标度关系解释、P5 的能带解释、P7 的第一条通道、P9 只留①②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6 分钟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再删 P2 的碱性对比、P6 的第二张卡、P8 的第三条卡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 分钟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只讲：P1 结论 → P2 方程 → P3 两条判据 → P4 的 0.37 V → P9 五步标题</w:t>
            </w:r>
          </w:p>
        </w:tc>
      </w:tr>
    </w:tbl>
    <w:p/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原则：</w:t>
      </w:r>
      <w:r>
        <w:rPr>
          <w:rFonts w:ascii="Times New Roman" w:hAnsi="Times New Roman" w:eastAsia="宋体"/>
          <w:b/>
          <w:sz w:val="24"/>
        </w:rPr>
        <w:t>先删解释句，永不删数字、结论、判据。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说明：v5 版 PPT 已按导师意见精简（每块只留一行要点）；</w:t>
      </w:r>
      <w:r>
        <w:rPr>
          <w:rFonts w:ascii="Times New Roman" w:hAnsi="Times New Roman" w:eastAsia="宋体"/>
          <w:b/>
          <w:sz w:val="24"/>
        </w:rPr>
        <w:t>PPT 上删掉的解释句都写在各页「口述台词」里</w:t>
      </w:r>
      <w:r>
        <w:rPr>
          <w:rFonts w:ascii="Times New Roman" w:hAnsi="Times New Roman" w:eastAsia="宋体"/>
          <w:b w:val="0"/>
          <w:sz w:val="24"/>
        </w:rPr>
        <w:t>——那是属于你的台词。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