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 65 总汇报：低铱 OER 催化剂的科学图景与实验路线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撰写：DSH 学术助理 ｜ 日期：2026-09-02 ｜ 定位：课题65（微波合成低铱 MnO₂–IrO₂ 催化剂 · PEM 水电解耐久析氧）入选后的总学习汇报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内容：① 课题全景与立项逻辑 ② 相关文献总学习（官方 2 篇 + 方法学补充）③ </w:t>
      </w:r>
      <w:r>
        <w:rPr>
          <w:rFonts w:ascii="Times New Roman" w:hAnsi="Times New Roman" w:eastAsia="宋体"/>
          <w:b/>
          <w:sz w:val="24"/>
        </w:rPr>
        <w:t>OER 反应过程与背景</w:t>
      </w:r>
      <w:r>
        <w:rPr>
          <w:rFonts w:ascii="Times New Roman" w:hAnsi="Times New Roman" w:eastAsia="宋体"/>
          <w:b w:val="0"/>
          <w:sz w:val="24"/>
        </w:rPr>
        <w:t>（机理/热力学/动力学/评价）④ PEM 电解背景 ⑤ 合成与表征路线 ⑥ 实验设计要点与里程碑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课题全景：为什么做"低铱"？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绿氢的产业瓶颈不在电解槽本身，而在阳极催化剂。</w:t>
      </w:r>
      <w:r>
        <w:rPr>
          <w:rFonts w:ascii="Times New Roman" w:hAnsi="Times New Roman" w:eastAsia="宋体"/>
          <w:b w:val="0"/>
          <w:sz w:val="24"/>
        </w:rPr>
        <w:t xml:space="preserve"> PEM（质子交换膜）水电解是唯一能直接对接可再生能源波动、产氢纯度最高、电流密度最大的电解技术，但它的阳极工作在</w:t>
      </w:r>
      <w:r>
        <w:rPr>
          <w:rFonts w:ascii="Times New Roman" w:hAnsi="Times New Roman" w:eastAsia="宋体"/>
          <w:b/>
          <w:sz w:val="24"/>
        </w:rPr>
        <w:t>强酸性 + 高氧化电位</w:t>
      </w:r>
      <w:r>
        <w:rPr>
          <w:rFonts w:ascii="Times New Roman" w:hAnsi="Times New Roman" w:eastAsia="宋体"/>
          <w:b w:val="0"/>
          <w:sz w:val="24"/>
        </w:rPr>
        <w:t>环境——这几乎是材料的"火葬场"：绝大多数非贵金属在酸性析氧电位下会溶解，唯一兼具高活性与耐酸性的元素只有 Ir（钌活性更高但溶解更快）。于是 PEM 电解槽被 Ir 供应卡死：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Ir 年产量仅约 8-10 吨（铂矿副产品），全球 PEM 产能扩张直接受其约束；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单台 MW 级 PEM 电解槽阳极 Ir 用量以公斤计，成本占比显著；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产业界共识：</w:t>
      </w:r>
      <w:r>
        <w:rPr>
          <w:rFonts w:ascii="Times New Roman" w:hAnsi="Times New Roman" w:eastAsia="宋体"/>
          <w:b/>
          <w:sz w:val="24"/>
        </w:rPr>
        <w:t>把 Ir 载量从 ~2-3 mg/cm² 降至 &lt;0.5 mg/cm² 甚至更低，同时保持寿命</w:t>
      </w:r>
      <w:r>
        <w:rPr>
          <w:rFonts w:ascii="Times New Roman" w:hAnsi="Times New Roman" w:eastAsia="宋体"/>
          <w:b w:val="0"/>
          <w:sz w:val="24"/>
        </w:rPr>
        <w:t>，是 PEM 大规模部署的头号材料学任务。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课题 65 正是这一产业痛点的直接回应：</w:t>
      </w:r>
      <w:r>
        <w:rPr>
          <w:rFonts w:ascii="Times New Roman" w:hAnsi="Times New Roman" w:eastAsia="宋体"/>
          <w:b/>
          <w:sz w:val="24"/>
        </w:rPr>
        <w:t>用 MnO₂ 做载体与电子结构调节剂，把 IrO₂ 分散成低载量异质结构，在保持活性与耐久性的前提下把 Ir 用出"每一颗都干活"的效率。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相关文献总学习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2.1 官方[1]：Li et al. *Science* 2024, 384, 666（MnO₂ 还原 → 原子分散六价 Ir）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这是课题 65 的"直接原型论文"，确立了一条反直觉的合成逻辑：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核心发现</w:t>
      </w:r>
      <w:r>
        <w:rPr>
          <w:rFonts w:ascii="Times New Roman" w:hAnsi="Times New Roman" w:eastAsia="宋体"/>
          <w:b w:val="0"/>
          <w:sz w:val="24"/>
        </w:rPr>
        <w:t xml:space="preserve">：MnO₂ 不只是惰性载体——它能把 Ir 前驱体中的 Ir </w:t>
      </w:r>
      <w:r>
        <w:rPr>
          <w:rFonts w:ascii="Times New Roman" w:hAnsi="Times New Roman" w:eastAsia="宋体"/>
          <w:b/>
          <w:sz w:val="24"/>
        </w:rPr>
        <w:t>还原并稳定为原子分散的 Ir⁶⁺</w:t>
      </w:r>
      <w:r>
        <w:rPr>
          <w:rFonts w:ascii="Times New Roman" w:hAnsi="Times New Roman" w:eastAsia="宋体"/>
          <w:b w:val="0"/>
          <w:sz w:val="24"/>
        </w:rPr>
        <w:t>（六价氧化态）。通常高氧化态 Ir 氧化物（IrO₃ 类）不稳定，但 MnO₂ 晶格/表面的电子环境使其亚稳存在；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催化后果</w:t>
      </w:r>
      <w:r>
        <w:rPr>
          <w:rFonts w:ascii="Times New Roman" w:hAnsi="Times New Roman" w:eastAsia="宋体"/>
          <w:b w:val="0"/>
          <w:sz w:val="24"/>
        </w:rPr>
        <w:t>：Ir⁶⁺ 位点的 d 带空穴浓度极高，对 OER 中间体（尤其 O）的吸附能落到火山图顶点附近，质量活性（A/g_Ir）比商业 IrO₂ 高一个数量级以上；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方法学启示</w:t>
      </w:r>
      <w:r>
        <w:rPr>
          <w:rFonts w:ascii="Times New Roman" w:hAnsi="Times New Roman" w:eastAsia="宋体"/>
          <w:b w:val="0"/>
          <w:sz w:val="24"/>
        </w:rPr>
        <w:t>（对课题 65 最重要）：</w:t>
      </w:r>
      <w:r>
        <w:rPr>
          <w:rFonts w:ascii="Times New Roman" w:hAnsi="Times New Roman" w:eastAsia="宋体"/>
          <w:b w:val="0"/>
          <w:i/>
          <w:sz w:val="24"/>
        </w:rPr>
        <w:t>载体-金属的氧化还原耦合</w:t>
      </w:r>
      <w:r>
        <w:rPr>
          <w:rFonts w:ascii="Times New Roman" w:hAnsi="Times New Roman" w:eastAsia="宋体"/>
          <w:b w:val="0"/>
          <w:sz w:val="24"/>
        </w:rPr>
        <w:t>（MnO₂ 作为还原剂/电子缓冲池）可以同时解决"分散度"和"电子结构调控"两个问题。课题 65 的 MnO₂–IrO₂ 异质结构正是这条思路的"纳米颗粒版"——不追求单原子，而追求异质界面的协同。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对毕设的靶点</w:t>
      </w:r>
      <w:r>
        <w:rPr>
          <w:rFonts w:ascii="Times New Roman" w:hAnsi="Times New Roman" w:eastAsia="宋体"/>
          <w:b w:val="0"/>
          <w:sz w:val="24"/>
        </w:rPr>
        <w:t>：界面电子转移（MnO₂ → IrO₂ 方向）、Ir 氧化态（XPS 测 Ir 4f 结合能）、OER 中间体吸附（对比负载前后 Tafel/过电位变化）。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2.2 官方[2]：Yang et al. *Adv. Mater.* 2025, 37, 2507560（S 掺杂 IrO₂ → 晶格氧机制）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低铱催化剂最大的敌人不是活性，是</w:t>
      </w:r>
      <w:r>
        <w:rPr>
          <w:rFonts w:ascii="Times New Roman" w:hAnsi="Times New Roman" w:eastAsia="宋体"/>
          <w:b/>
          <w:sz w:val="24"/>
        </w:rPr>
        <w:t>稳定性</w:t>
      </w:r>
      <w:r>
        <w:rPr>
          <w:rFonts w:ascii="Times New Roman" w:hAnsi="Times New Roman" w:eastAsia="宋体"/>
          <w:b w:val="0"/>
          <w:sz w:val="24"/>
        </w:rPr>
        <w:t>（Ir 溶解/催化剂降解）。这篇给出"机制级"稳定策略：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背景</w:t>
      </w:r>
      <w:r>
        <w:rPr>
          <w:rFonts w:ascii="Times New Roman" w:hAnsi="Times New Roman" w:eastAsia="宋体"/>
          <w:b w:val="0"/>
          <w:sz w:val="24"/>
        </w:rPr>
        <w:t>：IrO₂ 在酸性 OER 中遵循两种路径——吸附质演化机制（AEM，表面位点循环，稳定但动力学有上限）与晶格氧机制（LOM，晶格 O 直接参与 O-O 偶联，活性高但</w:t>
      </w:r>
      <w:r>
        <w:rPr>
          <w:rFonts w:ascii="Times New Roman" w:hAnsi="Times New Roman" w:eastAsia="宋体"/>
          <w:b/>
          <w:sz w:val="24"/>
        </w:rPr>
        <w:t>晶格氧流失导致 Ir 溶解</w:t>
      </w:r>
      <w:r>
        <w:rPr>
          <w:rFonts w:ascii="Times New Roman" w:hAnsi="Times New Roman" w:eastAsia="宋体"/>
          <w:b w:val="0"/>
          <w:sz w:val="24"/>
        </w:rPr>
        <w:t>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S 掺杂的妙处</w:t>
      </w:r>
      <w:r>
        <w:rPr>
          <w:rFonts w:ascii="Times New Roman" w:hAnsi="Times New Roman" w:eastAsia="宋体"/>
          <w:b w:val="0"/>
          <w:sz w:val="24"/>
        </w:rPr>
        <w:t>：把 IrO₂ 从 LOM "拨回" AEM（途径切换），牺牲部分本征活性换取稳定性；在低 Ir 载量下，稳定性权重远大于活性，因为</w:t>
      </w:r>
      <w:r>
        <w:rPr>
          <w:rFonts w:ascii="Times New Roman" w:hAnsi="Times New Roman" w:eastAsia="宋体"/>
          <w:b/>
          <w:sz w:val="24"/>
        </w:rPr>
        <w:t>单位质量 Ir 的寿命决定电解槽更换周期</w:t>
      </w:r>
      <w:r>
        <w:rPr>
          <w:rFonts w:ascii="Times New Roman" w:hAnsi="Times New Roman" w:eastAsia="宋体"/>
          <w:b w:val="0"/>
          <w:sz w:val="24"/>
        </w:rPr>
        <w:t>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对毕设的靶点</w:t>
      </w:r>
      <w:r>
        <w:rPr>
          <w:rFonts w:ascii="Times New Roman" w:hAnsi="Times New Roman" w:eastAsia="宋体"/>
          <w:b w:val="0"/>
          <w:sz w:val="24"/>
        </w:rPr>
        <w:t>：耐久性测试（计时电位/电流）是评价的核心手段；S 或类似阴离子掺杂可作为 MnO₂–IrO₂ 体系的"第三组分"探索方向（进阶延伸）。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2.3 方法学补充：OER meta-analysis（*Nat. Commun.* 2019, 10, 1493，已精读）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从数百篇文献数据中挖掘 OER 催化剂"性质-性能"统计关联。核心价值：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活性评价必须</w:t>
      </w:r>
      <w:r>
        <w:rPr>
          <w:rFonts w:ascii="Times New Roman" w:hAnsi="Times New Roman" w:eastAsia="宋体"/>
          <w:b/>
          <w:sz w:val="24"/>
        </w:rPr>
        <w:t>归一化</w:t>
      </w:r>
      <w:r>
        <w:rPr>
          <w:rFonts w:ascii="Times New Roman" w:hAnsi="Times New Roman" w:eastAsia="宋体"/>
          <w:b w:val="0"/>
          <w:sz w:val="24"/>
        </w:rPr>
        <w:t>（比表面积归一 vs 质量归一，结论可能相反）；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电子结构描述符（eg 填充、d 带中心）与活性的关联在统计层面存在但分散大——</w:t>
      </w:r>
      <w:r>
        <w:rPr>
          <w:rFonts w:ascii="Times New Roman" w:hAnsi="Times New Roman" w:eastAsia="宋体"/>
          <w:b/>
          <w:sz w:val="24"/>
        </w:rPr>
        <w:t>单点对比不可靠，要建自己的数据表</w:t>
      </w:r>
      <w:r>
        <w:rPr>
          <w:rFonts w:ascii="Times New Roman" w:hAnsi="Times New Roman" w:eastAsia="宋体"/>
          <w:b w:val="0"/>
          <w:sz w:val="24"/>
        </w:rPr>
        <w:t>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对毕设的方法论意义：你的 Ir 含量梯度（0.05→0.2 等）本身就是一张"组成-活性-稳定性"数据表，用统计思维而非个例思维解读。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2.4 待补官方文献（手动下载后精读）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Li 2024 </w:t>
      </w:r>
      <w:r>
        <w:rPr>
          <w:rFonts w:ascii="Times New Roman" w:hAnsi="Times New Roman" w:eastAsia="宋体"/>
          <w:b w:val="0"/>
          <w:i/>
          <w:sz w:val="24"/>
        </w:rPr>
        <w:t>Science</w:t>
      </w:r>
      <w:r>
        <w:rPr>
          <w:rFonts w:ascii="Times New Roman" w:hAnsi="Times New Roman" w:eastAsia="宋体"/>
          <w:b w:val="0"/>
          <w:sz w:val="24"/>
        </w:rPr>
        <w:t xml:space="preserve"> 全文（DOI 10.1126/science.adg5193）——精读其合成细节与 XPS/EXAFS 证据链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Yang 2025 </w:t>
      </w:r>
      <w:r>
        <w:rPr>
          <w:rFonts w:ascii="Times New Roman" w:hAnsi="Times New Roman" w:eastAsia="宋体"/>
          <w:b w:val="0"/>
          <w:i/>
          <w:sz w:val="24"/>
        </w:rPr>
        <w:t>Adv. Mater.</w:t>
      </w:r>
      <w:r>
        <w:rPr>
          <w:rFonts w:ascii="Times New Roman" w:hAnsi="Times New Roman" w:eastAsia="宋体"/>
          <w:b w:val="0"/>
          <w:sz w:val="24"/>
        </w:rPr>
        <w:t xml:space="preserve"> 全文（DOI 10.1002/adma.202507560）——精读 S 掺杂量与 LOM/AEM 判据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OER 反应过程与背景（核心）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3.1 反应总式与热力学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酸性 OER：</w:t>
      </w:r>
      <w:r>
        <w:rPr>
          <w:rFonts w:ascii="Times New Roman" w:hAnsi="Times New Roman" w:eastAsia="宋体"/>
          <w:b/>
          <w:sz w:val="24"/>
        </w:rPr>
        <w:t>2H₂O → O₂ + 4H⁺ + 4e⁻</w:t>
      </w:r>
      <w:r>
        <w:rPr>
          <w:rFonts w:ascii="Times New Roman" w:hAnsi="Times New Roman" w:eastAsia="宋体"/>
          <w:b w:val="0"/>
          <w:sz w:val="24"/>
        </w:rPr>
        <w:t>，E° = 1.23 V vs RHE（同一电位，碱性为 4OH⁻ → O₂ + 2H₂O + 4e⁻）。四电子转移是所有电化学反应中最"难"的类型之一——因为它涉及 O=O 双键的形成与多个质子耦合电子转移（PCET）步骤，动力学缓慢是</w:t>
      </w:r>
      <w:r>
        <w:rPr>
          <w:rFonts w:ascii="Times New Roman" w:hAnsi="Times New Roman" w:eastAsia="宋体"/>
          <w:b/>
          <w:sz w:val="24"/>
        </w:rPr>
        <w:t>本征</w:t>
      </w:r>
      <w:r>
        <w:rPr>
          <w:rFonts w:ascii="Times New Roman" w:hAnsi="Times New Roman" w:eastAsia="宋体"/>
          <w:b w:val="0"/>
          <w:sz w:val="24"/>
        </w:rPr>
        <w:t>的。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3.2 反应路径：AEM vs LOM（两条主线）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吸附质演化机制（AEM）</w:t>
      </w:r>
      <w:r>
        <w:rPr>
          <w:rFonts w:ascii="Times New Roman" w:hAnsi="Times New Roman" w:eastAsia="宋体"/>
          <w:b w:val="0"/>
          <w:sz w:val="24"/>
        </w:rPr>
        <w:t>——表面金属位点循环：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活性位 M 上水分子解离吸附，生成 OH（M–OH）；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i/>
          <w:sz w:val="24"/>
        </w:rPr>
        <w:t xml:space="preserve">OH 去质子化生成 </w:t>
      </w:r>
      <w:r>
        <w:rPr>
          <w:rFonts w:ascii="Times New Roman" w:hAnsi="Times New Roman" w:eastAsia="宋体"/>
          <w:b w:val="0"/>
          <w:sz w:val="24"/>
        </w:rPr>
        <w:t>O（M=O）；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i/>
          <w:sz w:val="24"/>
        </w:rPr>
        <w:t xml:space="preserve">O 与第二个水分子反应生成 </w:t>
      </w:r>
      <w:r>
        <w:rPr>
          <w:rFonts w:ascii="Times New Roman" w:hAnsi="Times New Roman" w:eastAsia="宋体"/>
          <w:b w:val="0"/>
          <w:sz w:val="24"/>
        </w:rPr>
        <w:t>OOH（M–OOH）；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 w:val="0"/>
          <w:sz w:val="24"/>
        </w:rPr>
        <w:t>OOH 去质子化并释放 O₂，活性位复原。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每一步都是一个 PCET（</w:t>
      </w:r>
      <w:r>
        <w:rPr>
          <w:rFonts w:ascii="Times New Roman" w:hAnsi="Times New Roman" w:eastAsia="宋体"/>
          <w:b w:val="0"/>
          <w:i/>
          <w:sz w:val="24"/>
        </w:rPr>
        <w:t>OH→</w:t>
      </w:r>
      <w:r>
        <w:rPr>
          <w:rFonts w:ascii="Times New Roman" w:hAnsi="Times New Roman" w:eastAsia="宋体"/>
          <w:b w:val="0"/>
          <w:sz w:val="24"/>
        </w:rPr>
        <w:t xml:space="preserve">O 与 </w:t>
      </w:r>
      <w:r>
        <w:rPr>
          <w:rFonts w:ascii="Times New Roman" w:hAnsi="Times New Roman" w:eastAsia="宋体"/>
          <w:b w:val="0"/>
          <w:i/>
          <w:sz w:val="24"/>
        </w:rPr>
        <w:t>O→</w:t>
      </w:r>
      <w:r>
        <w:rPr>
          <w:rFonts w:ascii="Times New Roman" w:hAnsi="Times New Roman" w:eastAsia="宋体"/>
          <w:b w:val="0"/>
          <w:sz w:val="24"/>
        </w:rPr>
        <w:t>OOH 各 1e⁻/1H⁺），</w:t>
      </w:r>
      <w:r>
        <w:rPr>
          <w:rFonts w:ascii="Times New Roman" w:hAnsi="Times New Roman" w:eastAsia="宋体"/>
          <w:b/>
          <w:sz w:val="24"/>
        </w:rPr>
        <w:t xml:space="preserve">决定速率的是 </w:t>
      </w:r>
      <w:r>
        <w:rPr>
          <w:rFonts w:ascii="Times New Roman" w:hAnsi="Times New Roman" w:eastAsia="宋体"/>
          <w:b/>
          <w:i/>
          <w:sz w:val="24"/>
        </w:rPr>
        <w:t xml:space="preserve">O 与 </w:t>
      </w:r>
      <w:r>
        <w:rPr>
          <w:rFonts w:ascii="Times New Roman" w:hAnsi="Times New Roman" w:eastAsia="宋体"/>
          <w:b/>
          <w:sz w:val="24"/>
        </w:rPr>
        <w:t>OOH 结合能之差</w:t>
      </w:r>
      <w:r>
        <w:rPr>
          <w:rFonts w:ascii="Times New Roman" w:hAnsi="Times New Roman" w:eastAsia="宋体"/>
          <w:b w:val="0"/>
          <w:sz w:val="24"/>
        </w:rPr>
        <w:t>——理想的催化剂应让中间体吸附"不太强也不太弱"（Sabatier 原则/火山图）。AEM 中 O₂ 来自两个水分子的 O，晶格 O 不参与（稳定）。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晶格氧机制（LOM）</w:t>
      </w:r>
      <w:r>
        <w:rPr>
          <w:rFonts w:ascii="Times New Roman" w:hAnsi="Times New Roman" w:eastAsia="宋体"/>
          <w:b w:val="0"/>
          <w:sz w:val="24"/>
        </w:rPr>
        <w:t>——晶格 O 直接参与：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在过渡金属氧化物（IrO₂、RuO₂、钙钛矿）高电位下，晶格氧可直接参与 O–O 偶联（如两个邻近晶格 O 或晶格 O+表面 </w:t>
      </w:r>
      <w:r>
        <w:rPr>
          <w:rFonts w:ascii="Times New Roman" w:hAnsi="Times New Roman" w:eastAsia="宋体"/>
          <w:b w:val="0"/>
          <w:i/>
          <w:sz w:val="24"/>
        </w:rPr>
        <w:t xml:space="preserve">O 耦合），绕过 </w:t>
      </w:r>
      <w:r>
        <w:rPr>
          <w:rFonts w:ascii="Times New Roman" w:hAnsi="Times New Roman" w:eastAsia="宋体"/>
          <w:b w:val="0"/>
          <w:sz w:val="24"/>
        </w:rPr>
        <w:t>OOH 中间体。优点：</w:t>
      </w:r>
      <w:r>
        <w:rPr>
          <w:rFonts w:ascii="Times New Roman" w:hAnsi="Times New Roman" w:eastAsia="宋体"/>
          <w:b/>
          <w:sz w:val="24"/>
        </w:rPr>
        <w:t>绕开 AEM 的吸附能标度关系（火山图顶点限制），活性上限更高</w:t>
      </w:r>
      <w:r>
        <w:rPr>
          <w:rFonts w:ascii="Times New Roman" w:hAnsi="Times New Roman" w:eastAsia="宋体"/>
          <w:b w:val="0"/>
          <w:sz w:val="24"/>
        </w:rPr>
        <w:t>；代价：晶格氧空位累积 → 金属（Ir）溶出 → 结构坍塌。</w:t>
      </w:r>
      <w:r>
        <w:rPr>
          <w:rFonts w:ascii="Times New Roman" w:hAnsi="Times New Roman" w:eastAsia="宋体"/>
          <w:b/>
          <w:sz w:val="24"/>
        </w:rPr>
        <w:t>LOM 是"活性换寿命"的危险交易</w:t>
      </w:r>
      <w:r>
        <w:rPr>
          <w:rFonts w:ascii="Times New Roman" w:hAnsi="Times New Roman" w:eastAsia="宋体"/>
          <w:b w:val="0"/>
          <w:sz w:val="24"/>
        </w:rPr>
        <w:t>——这正是 Yang 2025 用 S 掺杂做"机制开关"的原因。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3.3 动力学与过电位分解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实际电解需要 1.8-2.0 V 槽压（热力学 1.23 V），多出的 0.6-0.8 V 即各类过电位：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活化过电位（η_act）</w:t>
      </w:r>
      <w:r>
        <w:rPr>
          <w:rFonts w:ascii="Times New Roman" w:hAnsi="Times New Roman" w:eastAsia="宋体"/>
          <w:b w:val="0"/>
          <w:sz w:val="24"/>
        </w:rPr>
        <w:t>：OER 本征动力学，由催化剂决定——评价指标：10 mA/cm²（或 100 mA/cm²）处的过电位（η@10，好催化剂 &lt;300 mV）、Tafel 斜率（好催化剂 40-60 mV/dec）；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欧姆过电位（η_ohm）</w:t>
      </w:r>
      <w:r>
        <w:rPr>
          <w:rFonts w:ascii="Times New Roman" w:hAnsi="Times New Roman" w:eastAsia="宋体"/>
          <w:b w:val="0"/>
          <w:sz w:val="24"/>
        </w:rPr>
        <w:t>：膜电阻/接触电阻——用 EIS 分离（高频截距=欧姆电阻）；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浓差/传质过电位</w:t>
      </w:r>
      <w:r>
        <w:rPr>
          <w:rFonts w:ascii="Times New Roman" w:hAnsi="Times New Roman" w:eastAsia="宋体"/>
          <w:b w:val="0"/>
          <w:sz w:val="24"/>
        </w:rPr>
        <w:t>：气泡覆盖、离子传输——旋转圆盘电极或流动池中控制。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对实验的启示</w:t>
      </w:r>
      <w:r>
        <w:rPr>
          <w:rFonts w:ascii="Times New Roman" w:hAnsi="Times New Roman" w:eastAsia="宋体"/>
          <w:b w:val="0"/>
          <w:sz w:val="24"/>
        </w:rPr>
        <w:t>：η@10 必须在 iR 补偿后报告（否则数据不可比）；Tafel 斜率反映机理（~40 mV/dec ≈ 第二电子转移决速；~120 mV/dec ≈ 首电子转移决速）；EIS 的 Nyquist 图第一半圆（电荷转移电阻 Rct）与活性相关。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3.4 稳定性评价（低铱课题的生命线）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计时电位/计时电流</w:t>
      </w:r>
      <w:r>
        <w:rPr>
          <w:rFonts w:ascii="Times New Roman" w:hAnsi="Times New Roman" w:eastAsia="宋体"/>
          <w:b w:val="0"/>
          <w:sz w:val="24"/>
        </w:rPr>
        <w:t>（恒流/恒压长跑）：记录电位/电流随时间漂移；Ir 溶解用 ICP-MS 测电解液 Ir 浓度；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加速老化</w:t>
      </w:r>
      <w:r>
        <w:rPr>
          <w:rFonts w:ascii="Times New Roman" w:hAnsi="Times New Roman" w:eastAsia="宋体"/>
          <w:b w:val="0"/>
          <w:sz w:val="24"/>
        </w:rPr>
        <w:t>（电压循环/方波）：模拟电解槽启停；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对比基准</w:t>
      </w:r>
      <w:r>
        <w:rPr>
          <w:rFonts w:ascii="Times New Roman" w:hAnsi="Times New Roman" w:eastAsia="宋体"/>
          <w:b w:val="0"/>
          <w:sz w:val="24"/>
        </w:rPr>
        <w:t>：商业 IrO₂ / Ir black 必须同条件跑——低铱催化剂的卖点全靠"归一化到 Ir 质量"的对比（质量活性 A/mg_Ir、比活性）。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合成路线：微波辅助多元醇法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乙二醇（EG）</w:t>
      </w:r>
      <w:r>
        <w:rPr>
          <w:rFonts w:ascii="Times New Roman" w:hAnsi="Times New Roman" w:eastAsia="宋体"/>
          <w:b w:val="0"/>
          <w:sz w:val="24"/>
        </w:rPr>
        <w:t>：既是溶剂又是温和还原剂——高温下氧化为乙醇酸/乙二醛，释放电子还原金属前驱体；EG 高沸点（197°C）允许高温反应，介电常数高利于微波吸收；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微波加热 vs 传统加热</w:t>
      </w:r>
      <w:r>
        <w:rPr>
          <w:rFonts w:ascii="Times New Roman" w:hAnsi="Times New Roman" w:eastAsia="宋体"/>
          <w:b w:val="0"/>
          <w:sz w:val="24"/>
        </w:rPr>
        <w:t>：体相快速均匀加热（而非热传导）、成核过饱和度均匀 → 粒径分布窄、可重复性好；参数：功率/温度/时间/升温速率；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MnO₂–IrO₂ 异质结构形成</w:t>
      </w:r>
      <w:r>
        <w:rPr>
          <w:rFonts w:ascii="Times New Roman" w:hAnsi="Times New Roman" w:eastAsia="宋体"/>
          <w:b w:val="0"/>
          <w:sz w:val="24"/>
        </w:rPr>
        <w:t>：先制 MnO₂（或原位生成）→ Ir 前驱体（H₂IrCl₆/IrCl₃）在 EG 中被还原沉积于 MnO₂ 表面 → 控制 IrO₂ 负载量（投料比）与结晶度（温度/时间）；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变量矩阵</w:t>
      </w:r>
      <w:r>
        <w:rPr>
          <w:rFonts w:ascii="Times New Roman" w:hAnsi="Times New Roman" w:eastAsia="宋体"/>
          <w:b w:val="0"/>
          <w:sz w:val="24"/>
        </w:rPr>
        <w:t>（对应手册）：前驱体浓度 × IrO₂ 负载量 × 反应温度 × 反应时间 × 微波条件——建议先固定 3 个扫 1 个（一变量一实验），避免组合爆炸。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表征与电化学测试闭环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92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环节</w:t>
            </w:r>
          </w:p>
        </w:tc>
        <w:tc>
          <w:tcPr>
            <w:tcW w:type="dxa" w:w="224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手段</w:t>
            </w:r>
          </w:p>
        </w:tc>
        <w:tc>
          <w:tcPr>
            <w:tcW w:type="dxa" w:w="529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回答的问题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物相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XRD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IrO₂/MnO₂ 晶相、有无金属 Ir、晶粒尺寸（Scherrer）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形貌/界面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SEM/TEM/HRTEM/EDX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异质结构是否形成、Ir 分布、晶格像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表面化学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XPS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Ir 氧化态（4f）、Mn 价态、界面电子转移方向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电化学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LSV（iR 补偿）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η@10、η@100；质量活性归一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动力学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Tafel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决速步/机理线索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界面电阻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EIS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Rct 随负载量变化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稳定性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计时电位/电流 + 循环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寿命、溶解（ICP-MS 可选）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实验设计要点与里程碑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基线先行</w:t>
      </w:r>
      <w:r>
        <w:rPr>
          <w:rFonts w:ascii="Times New Roman" w:hAnsi="Times New Roman" w:eastAsia="宋体"/>
          <w:b w:val="0"/>
          <w:sz w:val="24"/>
        </w:rPr>
        <w:t>：商业 IrO₂ 与纯 MnO₂ 必须作为对照组（MnO₂ 本身有 OER 活性但酸性下会溶解——这也解释了为什么 MnO₂ 只做载体+促进剂而非主体）；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10 月（进组）</w:t>
      </w:r>
      <w:r>
        <w:rPr>
          <w:rFonts w:ascii="Times New Roman" w:hAnsi="Times New Roman" w:eastAsia="宋体"/>
          <w:b w:val="0"/>
          <w:sz w:val="24"/>
        </w:rPr>
        <w:t>：安全培训/设备熟悉/复现一篇文献的 MnO₂–IrO₂ 合成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11-12 月</w:t>
      </w:r>
      <w:r>
        <w:rPr>
          <w:rFonts w:ascii="Times New Roman" w:hAnsi="Times New Roman" w:eastAsia="宋体"/>
          <w:b w:val="0"/>
          <w:sz w:val="24"/>
        </w:rPr>
        <w:t>：合成参数矩阵第一批（负载量梯度为核心）；XRD/XPS 表征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1 月（CA1）</w:t>
      </w:r>
      <w:r>
        <w:rPr>
          <w:rFonts w:ascii="Times New Roman" w:hAnsi="Times New Roman" w:eastAsia="宋体"/>
          <w:b w:val="0"/>
          <w:sz w:val="24"/>
        </w:rPr>
        <w:t>：电化学评价闭环，η@10 与质量活性数据表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2-3 月</w:t>
      </w:r>
      <w:r>
        <w:rPr>
          <w:rFonts w:ascii="Times New Roman" w:hAnsi="Times New Roman" w:eastAsia="宋体"/>
          <w:b w:val="0"/>
          <w:sz w:val="24"/>
        </w:rPr>
        <w:t>：稳定性测试 + 最优组成迭代（S 掺杂等进阶可选）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4-5 月（CA2）</w:t>
      </w:r>
      <w:r>
        <w:rPr>
          <w:rFonts w:ascii="Times New Roman" w:hAnsi="Times New Roman" w:eastAsia="宋体"/>
          <w:b w:val="0"/>
          <w:sz w:val="24"/>
        </w:rPr>
        <w:t>：成文——组成-结构-活性-稳定性关联结论 + 论文骨架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风险预案</w:t>
      </w:r>
      <w:r>
        <w:rPr>
          <w:rFonts w:ascii="Times New Roman" w:hAnsi="Times New Roman" w:eastAsia="宋体"/>
          <w:b w:val="0"/>
          <w:sz w:val="24"/>
        </w:rPr>
        <w:t>：①微波反应器不可用 → 常规油浴多元醇法（降级不影响主线）；②Ir 溶解/负载量上不去 → 调 EG/水比例与还原温度；③酸性 OER 数据波动 → 严格 iR 补偿与 RHE 校准，建立标准测试 SOP。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汇报完 · 课题 65 全流程参考《课题65-入选指南-硕士前景与FYP准备.md》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