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文献精读报告：Electrolyte Lifetime in Aqueous Organic Redox Flow Batteries: A Critical Review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编制日期：2026年09月01日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：David G. Kwabi（密歇根大学）、Yunlong Ji（哈佛大学）、Michael J. Aziz（哈佛大学，通讯作者）｜Chemical Reviews 2020, 120（"Beyond Li Battery Chemistry" 专刊）｜DOI 10.1021/acs.chemrev.9b00599｜精读日期 2026-09-01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证据分级：R0=原文事实（附页码锚点，采用原文印刷页码 A–S）｜R1=外部背景｜R2=推断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勘误说明：任务书标注作者为 "Duan et al."，经核对原文署名实为 Kwabi / Ji / Aziz（R0, p.A），本报告以原文为准。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该综述系统梳理水系有机液流电池（AORFB）电解液的"化学寿命"问题：储能平准化成本取决于电解液日历寿命（R0, p.B），而当时绝大多数有机活性材料的容量衰减率超过 0.1%/day，无法支撑数十年项目寿命（R0, p.C）。作者将材料分为五类——醌类、紫精类、氮杂芳烃类、铁配位络合物、氮氧自由基（TEMPO）类——归纳已知或推测的分子分解机理，横向比较所有以容量限制侧（CLS）运行的全电池/混合电池衰减数据（表1–3），并单独评述对称电池循环结果（表4）。核心发现：容量衰减本质上是</w:t>
      </w:r>
      <w:r>
        <w:rPr>
          <w:rFonts w:ascii="Times New Roman" w:hAnsi="Times New Roman" w:eastAsia="宋体"/>
          <w:b/>
          <w:sz w:val="24"/>
        </w:rPr>
        <w:t>时间标度</w:t>
      </w:r>
      <w:r>
        <w:rPr>
          <w:rFonts w:ascii="Times New Roman" w:hAnsi="Times New Roman" w:eastAsia="宋体"/>
          <w:b w:val="0"/>
          <w:sz w:val="24"/>
        </w:rPr>
        <w:t>（time-denominated）而非</w:t>
      </w:r>
      <w:r>
        <w:rPr>
          <w:rFonts w:ascii="Times New Roman" w:hAnsi="Times New Roman" w:eastAsia="宋体"/>
          <w:b/>
          <w:sz w:val="24"/>
        </w:rPr>
        <w:t>循环标度</w:t>
      </w:r>
      <w:r>
        <w:rPr>
          <w:rFonts w:ascii="Times New Roman" w:hAnsi="Times New Roman" w:eastAsia="宋体"/>
          <w:b w:val="0"/>
          <w:sz w:val="24"/>
        </w:rPr>
        <w:t>（cycle-denominated）的；纯恒流（galvanostatic）循环在低衰减率下不可靠，须采用电位保持/恒电位循环；并给出具商业化前景的判据（开路电压≥1.0 V、可转移电子浓度≥1.0 M、低或极低衰减率），同时指出正极电解液（posolyte）发展严重滞后等研究方向（R0, p.Q–R）。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课题关联分析（与课题52 的直接关联）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课题52 的流程（CV/UV-vis/溶解度/稳定性表征 → 流动电池容量/效率测试 → 双体系对比）与该综述的方法论框架高度对应，以下要点可直接用于毕设：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稳定性评估方法（最直接可用）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CV 只能覆盖分钟级化学衰减时间尺度，仅宜作初筛（氧化/还原态可逆性判断）；真实稳定性须靠流动电池长期循环（R0, p.F）。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纯恒流循环在低衰减率下会因膜电阻漂移、昼夜温差产生"表观容量"假象——Goulet &amp; Aziz 曾人为串入相当于 25% 电阻增量的电阻，演示了恒流测量中虚假的容量涨落（R0, p.G）。</w:t>
      </w:r>
      <w:r>
        <w:rPr>
          <w:rFonts w:ascii="Times New Roman" w:hAnsi="Times New Roman" w:eastAsia="宋体"/>
          <w:b/>
          <w:sz w:val="24"/>
        </w:rPr>
        <w:t>毕设测容量保持时必须加电位保持或改恒电位循环。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对称电池循环（体积不平衡、组成对称 + 恒电位）可将容量衰减直接归因于单侧电解液的化学分解、排除交叉干扰，是实验室可行的"分解速率测量"手段（R0, p.N）。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衰减率必须按 %/day 时间标度报告并与 %/cycle 并列——两者在表1–3 中无相关性（R0, p.G, p.Q）；两学生对比不同材料体系时，统一时间标度才有可比性。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材料筛选判据（可直接用于选材）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醌类：电位 &gt;0.9 V vs SHE 的醌几乎必然遭受水的 Michael 加成（Tabor 等 14 万分子计算，R0, p.E；Preger 等实验证实醌半衰期与还原电位负相关，R0, p.H）→ 醌宜作负极电解液，不宜作高电位正极。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取代基工程：oxy-alkyl 取代（2,6-DPPEAQ/2,6-DBEAQ）抑制互变异构与歧化；羧酸根/磷酸根/季铵基增溶并抑制二聚（R0, p.O–Q）；磷酸根比羧酸根亲核性弱、更耐分子内攻击（R0, p.J）。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pH 匹配：TEMPO 宜中性（碱性下 OH⁻ 亲核加成，R0, p.E）；亚铁氰化物宜中性至弱碱（pH 14 时在碳电极上自发还原，R0, p.P）；紫精宜中性（酸性被质子化、碱性遭 OH⁻ 攻击，R0, p.E）。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溶解度策略：羧酸根远离蒽醌核心增溶（2,6-DBEAQ &gt;1 M vs 2,6-DHAQ 0.6 M @pH14，R0, p.D）；不对称电荷分布增溶（DHPS 1.8 M vs 母体近乎不溶，R0, p.D）；铵根替换钾/钠使亚铁氰化物溶解度近乎翻倍（R0, p.D）。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容量衰减数据解读</w:t>
      </w:r>
      <w:r>
        <w:rPr>
          <w:rFonts w:ascii="Times New Roman" w:hAnsi="Times New Roman" w:eastAsia="宋体"/>
          <w:b w:val="0"/>
          <w:sz w:val="24"/>
        </w:rPr>
        <w:t>：衰减 = 分解 + 交叉（crossover）+ 泄漏三者叠加；交叉随浓度增加、而双分子分解亦随浓度加速，可用浓度依赖性实验区分（R0, p.C, p.K）。毕设报告容量保持时应先排除交叉与泄漏，再归因于分子分解。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内容深度解读（按综述结构）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（一）引言与经济背景（p.A–C）</w:t>
      </w:r>
      <w:r>
        <w:rPr>
          <w:rFonts w:ascii="Times New Roman" w:hAnsi="Times New Roman" w:eastAsia="宋体"/>
          <w:b w:val="0"/>
          <w:sz w:val="24"/>
        </w:rPr>
        <w:t>：AORFB 能量与功率可独立标度；技术经济分析估计 1.5 V、5 $/kg 活性材料、150 g/mol 电子时系统成本约 120 $/kWh（R0, p.B）。钒电池（大连融科 200 MW/800 MWh，R0, p.B）受钒价波动限制。定义 replacement cost ratio＝年更换成本/初始资本节省，说明"电解液可定期更换"的商业模式下日历寿命是决定性变量（R0, p.C）。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（二）分子分解机理（第2.1节，p.C–F, Scheme 1）</w:t>
      </w:r>
      <w:r>
        <w:rPr>
          <w:rFonts w:ascii="Times New Roman" w:hAnsi="Times New Roman" w:eastAsia="宋体"/>
          <w:b w:val="0"/>
          <w:sz w:val="24"/>
        </w:rPr>
        <w:t>，共四类：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亲核加成/取代</w:t>
      </w:r>
      <w:r>
        <w:rPr>
          <w:rFonts w:ascii="Times New Roman" w:hAnsi="Times New Roman" w:eastAsia="宋体"/>
          <w:b w:val="0"/>
          <w:sz w:val="24"/>
        </w:rPr>
        <w:t>（最常见）：水、OH⁻、过氧氢根或还原态物种攻击缺电子（通常为氧化态）分子，含偕二醇（gem-diol）生成、Michael 加成、水解（酯/醚/酰胺键）。典型案例：BQDS 氧化后的邻醌被水 Michael 加成，两轮后形成带两个供电子羟基的对苯醌，电位自 0.85 V 降至 ~0.65 V，首圈即损失 50% 容量（R0, p.G–H）。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歧化</w:t>
      </w:r>
      <w:r>
        <w:rPr>
          <w:rFonts w:ascii="Times New Roman" w:hAnsi="Times New Roman" w:eastAsia="宋体"/>
          <w:b w:val="0"/>
          <w:sz w:val="24"/>
        </w:rPr>
        <w:t>：同氧化态两物种发生氧化还原生成高/低氧化态产物。DHAQ 的 2 电子还原产物蒽氢醌歧化为蒽酮+蒽醌，蒽酮再二聚为无氧化还原活性的 (DHA)₂——这是 DHAQ 全电池 8%/day 衰减的主因（R0, p.I）。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二聚/聚合</w:t>
      </w:r>
      <w:r>
        <w:rPr>
          <w:rFonts w:ascii="Times New Roman" w:hAnsi="Times New Roman" w:eastAsia="宋体"/>
          <w:b w:val="0"/>
          <w:sz w:val="24"/>
        </w:rPr>
        <w:t>：MV•⁺ 自由基在 pH 7 即二聚为电荷转移复合物，再歧化为 MV²⁺/MV⁰ 而失活（R0, p.E）；FMN 不可逆二聚（新 CV 峰较单体低 ~300 mV，R0, p.M）。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互变异构</w:t>
      </w:r>
      <w:r>
        <w:rPr>
          <w:rFonts w:ascii="Times New Roman" w:hAnsi="Times New Roman" w:eastAsia="宋体"/>
          <w:b w:val="0"/>
          <w:sz w:val="24"/>
        </w:rPr>
        <w:t>：氮杂芳环体系（醌、紫精、吩嗪）易发生；bislawsone 的氢醌互变为不溶/失活的二酮、四酮是其衰减主因（R0, p.J）。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（三）全电池容量衰减（第2.2节，表1–3，p.G–M）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分级标准：high &gt;1%/day；moderate 0.1–1%/day；low 0.02–0.1%/day；extremely low ≤0.02%/day（R0, p.A）。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关键数据（均 R0）：2,6-DPPEAQ/Fe(CN)₆ 全电池 0.014%/day——迄今无再平衡条件下全液流电池最低衰减纪录（电位保持循环测得，p.I）；2,6-DBEAQ 0.04%/day；DHAQ 8%/day，且将最高 SOC 从 100% 限制到 88% 后衰减由 5.6%/day 降至 0.14%/day（p.I）；DHDMBS 0.48%/day（用低渗透膜+对称电池分离出交叉与脱磺酸贡献，p.H）；AQDS 对称电池 0.08%/day，100% SOC 暂停时 0.2%/day、0% SOC 无损失——还原态更不稳定，NMR 佐证还原态 45 °C 存放 2 周浓度降 40%（p.N–O）；BTMAP-Vi/BTMAP-Fc 容量平衡（1.3 M）0.1%/day、BTMAP-Fc 限制侧（1.0 M）0.033%/day 且约一半归因于交叉（p.K）；(NH₄)₄Fe(CN)₆ 中性对称电池 0.017%/day（p.O）。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交叉 vs 分解：DHPS 衰减率与浓度无关提示一阶损失（膜交互/交叉为主，p.M）；Vi/Fc 体系衰减率随浓度增大提示双分子分解（p.K）。警示：K₄Fe(CN)₆ 在 pH 14 与碳电极接触时被自发还原（OH⁻、光照加速），对称电池瞬时衰减达 45–67%/day（p.P）。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（四）对称电池技术（第2.3节，p.M–P）</w:t>
      </w:r>
      <w:r>
        <w:rPr>
          <w:rFonts w:ascii="Times New Roman" w:hAnsi="Times New Roman" w:eastAsia="宋体"/>
          <w:b w:val="0"/>
          <w:sz w:val="24"/>
        </w:rPr>
        <w:t>：源自 Darling–Perry 双半电池；Milshtein 首用于非水体系；Goulet &amp; Aziz 提出"体积不平衡、组成对称"电池 + 恒电位循环，使衰减率可归因于 CLS 的 SOC；在不同 SOC 处暂停循环可测各氧化还原态的相对稳定性。注意：两侧均含高/低电位对的"混合全对称电池"结果不可直接解读为稳定性——休眠物种交叉可能掩盖真实衰减（R0, p.P）。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（五）总结与结论（p.Q–R）</w:t>
      </w:r>
      <w:r>
        <w:rPr>
          <w:rFonts w:ascii="Times New Roman" w:hAnsi="Times New Roman" w:eastAsia="宋体"/>
          <w:b w:val="0"/>
          <w:sz w:val="24"/>
        </w:rPr>
        <w:t>：容量衰减应默认按时间标度解读，除非证明循环标度分量显著；确立 &lt;0.1%/day 的分解速率须抑制交叉等干扰；升温加速老化可行但须验证主机理不随温度改变；正极是瓶颈——尚无 OCV≥1.0 V 且衰减 &lt;0.1%/day 的正极限制全电池，唯一低衰减有机正极为电位较低的 BTMAP-Fc；K₄Fe(CN)₆ 溶解受限（~0.8 M @pH7）且有交叉/分解，溴交叉快且安全成本高（R0）。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低衰减率的测量信噪比困境</w:t>
      </w:r>
      <w:r>
        <w:rPr>
          <w:rFonts w:ascii="Times New Roman" w:hAnsi="Times New Roman" w:eastAsia="宋体"/>
          <w:b w:val="0"/>
          <w:sz w:val="24"/>
        </w:rPr>
        <w:t>：fade ≤0.1%/day 时表观容量对膜电阻漂移、温度波动极敏感，纯恒流循环不可靠；且需数周至数月才能在室温积累足量降解产物供 NMR/HPLC 分析（R0, p.J）。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分解/交叉/泄漏的定量分离</w:t>
      </w:r>
      <w:r>
        <w:rPr>
          <w:rFonts w:ascii="Times New Roman" w:hAnsi="Times New Roman" w:eastAsia="宋体"/>
          <w:b w:val="0"/>
          <w:sz w:val="24"/>
        </w:rPr>
        <w:t>：多数文献未设 CLS 或未做循环后化学分析，无法归因（R0, p.K）。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电位–稳定性–溶解度的多目标权衡</w:t>
      </w:r>
      <w:r>
        <w:rPr>
          <w:rFonts w:ascii="Times New Roman" w:hAnsi="Times New Roman" w:eastAsia="宋体"/>
          <w:b w:val="0"/>
          <w:sz w:val="24"/>
        </w:rPr>
        <w:t>：高电位与高稳定性互斥（醌类）；高浓度（降成本）触发双分子分解（R0, p.C）。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正极材料空白</w:t>
      </w:r>
      <w:r>
        <w:rPr>
          <w:rFonts w:ascii="Times New Roman" w:hAnsi="Times New Roman" w:eastAsia="宋体"/>
          <w:b w:val="0"/>
          <w:sz w:val="24"/>
        </w:rPr>
        <w:t>：高电位有机正极几乎全部不稳定，无机正极（Fe(CN)₆、Br₂）各有短板（R0, p.Q–R）。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电极/膜材料自身参与降解</w:t>
      </w:r>
      <w:r>
        <w:rPr>
          <w:rFonts w:ascii="Times New Roman" w:hAnsi="Times New Roman" w:eastAsia="宋体"/>
          <w:b w:val="0"/>
          <w:sz w:val="24"/>
        </w:rPr>
        <w:t>：如碳电极还原 Fe(CN)₆，容易被忽视（R0, p.P）。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可借鉴点（实验设计直接可用）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稳定性测试流程（可直接照搬）</w:t>
      </w:r>
      <w:r>
        <w:rPr>
          <w:rFonts w:ascii="Times New Roman" w:hAnsi="Times New Roman" w:eastAsia="宋体"/>
          <w:b w:val="0"/>
          <w:sz w:val="24"/>
        </w:rPr>
        <w:t>：① CV 初筛可逆性与电位；② 测定溶解度与可转移电子浓度；③ 组装 CLS 明确的全电池——被测物置于容量限制侧，对侧容量富余（充、放电两侧均留余量以容纳副反应，R0, p.F）；④ 恒流循环中每 n 圈插入电位保持（电流降至阈值即视为 100% 容量被访问，见 p.I 图4 示例）；⑤ 衰减一律换算 %/day 并与 %/cycle 并列；⑥ 出现衰减时做循环后化学分析（UV-vis/CV/NMR/HPLC），优先测还原态并注意隔氧（R0, p.M）。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SOC 管理实验</w:t>
      </w:r>
      <w:r>
        <w:rPr>
          <w:rFonts w:ascii="Times New Roman" w:hAnsi="Times New Roman" w:eastAsia="宋体"/>
          <w:b w:val="0"/>
          <w:sz w:val="24"/>
        </w:rPr>
        <w:t>：复现"不同 SOC 暂停"方案，直接测各氧化还原态的相对衰减率、定位失活元凶（R0, p.N–O）；两学生对比不同材料体系时尤其有用（如 A 材料还原态不稳定 vs B 材料氧化态不稳定）。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加速老化</w:t>
      </w:r>
      <w:r>
        <w:rPr>
          <w:rFonts w:ascii="Times New Roman" w:hAnsi="Times New Roman" w:eastAsia="宋体"/>
          <w:b w:val="0"/>
          <w:sz w:val="24"/>
        </w:rPr>
        <w:t>：高温（如 45 °C）储存氧化态/还原态电解液并定期化学分析，可加速揭示慢机理（2,6-DBEAQ/2,6-DPPEAQ 的做法，R0, p.J）；但须先确认主机理不随温度改变（R0, p.R）。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选材清单（R0 支撑）</w:t>
      </w:r>
      <w:r>
        <w:rPr>
          <w:rFonts w:ascii="Times New Roman" w:hAnsi="Times New Roman" w:eastAsia="宋体"/>
          <w:b w:val="0"/>
          <w:sz w:val="24"/>
        </w:rPr>
        <w:t>：negolyte 候选——2,6-DPPEAQ / 2,6-DBEAQ（碱性至近中性，oxy-alkyl 取代）、BTMAP-Vi（中性，铵基抑制二聚）、DHPS（碱性，−0.81 V，1.8 M）；posolyte 候选——BTMAP-Fc、(NH₄)₄Fe(CN)₆（中性）；应避免——高电位醌正极（&gt;0.9 V）、碱性 TEMPO、碱性 Fe(CN)₆ 与碳电极组合。无机体系可套用同一评估流程。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效率指标解读</w:t>
      </w:r>
      <w:r>
        <w:rPr>
          <w:rFonts w:ascii="Times New Roman" w:hAnsi="Times New Roman" w:eastAsia="宋体"/>
          <w:b w:val="0"/>
          <w:sz w:val="24"/>
        </w:rPr>
        <w:t>：CE/VE/EE 之外，容量保持须按时间报告；VE 下降可能源于膜老化而非材料分解（R0, p.G）。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本课题若涉及无机体系（如铁基），该综述的方法学完全适用，但无机物种交叉更快（R0, p.C），对称电池仍是首选归因工具。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计算筛选（Er 等 1 万分子虚拟库、Tabor 14 万分子）预示"计算先筛 + 实验验证"路径；毕设规模虽小，仍可用 Hammett 常数定性估算取代基对醌电位的影响（R0, p.D）。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容量恢复效应：DHA 在氧存在下可再氧化回 DHAQ，恢复约 70% 损失容量（R0, p.I）——提示部分"衰减"可逆，毕设解读数据时应区分可逆/不可逆损失。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 w:val="0"/>
          <w:sz w:val="24"/>
        </w:rPr>
        <w:t>经济逻辑："电解液可更换"使"足够稳定"而非"永远稳定"成为合理目标（R0, p.C），答辩可引用 LCOS 逻辑支撑选材的工程意义。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 w:val="0"/>
          <w:sz w:val="24"/>
        </w:rPr>
        <w:t>该综述为 2020 年视角，其标杆（2,6-DPPEAQ、对称电池+SOC 管理、铵基/磷基官能化策略）此后有大量延续工作；开题时宜补充近 5 年文献以更新判据（R1）。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