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课题 65 入选指南：硕士前景分析 + FYP 准备事项（2026-09-02）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编制日期：2026年09月09日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课题：Microwave-Assisted Synthesis of Low-Iridium MnO₂–IrO₂ Catalysts for Durable Oxygen Evolution in Proton Exchange Membrane Water Electrolysis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导师：Prof. Xue Junmin（薛军民）——</w:t>
      </w:r>
      <w:r>
        <w:rPr>
          <w:rFonts w:ascii="Times New Roman" w:hAnsi="Times New Roman" w:eastAsia="宋体"/>
          <w:b/>
          <w:sz w:val="24"/>
        </w:rPr>
        <w:t>NUS MSE 系主任（Head of Department）+ 教授</w:t>
      </w:r>
      <w:r>
        <w:rPr>
          <w:rFonts w:ascii="Times New Roman" w:hAnsi="Times New Roman" w:eastAsia="宋体"/>
          <w:b w:val="0"/>
          <w:sz w:val="24"/>
        </w:rPr>
        <w:t>，Google Scholar 引用 22,700+，2025 入选全球前 2% 科学家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依据：《MSE311 毕业设计选题介绍》P154-155（原文）+ 中文翻译版</w:t>
      </w:r>
    </w:p>
    <w:p/>
    <w:p>
      <w:pPr>
        <w:spacing w:before="120" w:after="120"/>
        <w:pBdr>
          <w:bottom w:val="single" w:sz="6" w:color="CCCCCC"/>
        </w:pBdr>
      </w:pP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硕士阶段前景分析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1.1 研究方向定位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课题 65 属于</w:t>
      </w:r>
      <w:r>
        <w:rPr>
          <w:rFonts w:ascii="Times New Roman" w:hAnsi="Times New Roman" w:eastAsia="宋体"/>
          <w:b/>
          <w:sz w:val="24"/>
        </w:rPr>
        <w:t>电解水制氢（绿氢）产业最成熟的 PEM 路线</w:t>
      </w:r>
      <w:r>
        <w:rPr>
          <w:rFonts w:ascii="Times New Roman" w:hAnsi="Times New Roman" w:eastAsia="宋体"/>
          <w:b w:val="0"/>
          <w:sz w:val="24"/>
        </w:rPr>
        <w:t>的阳极催化剂降本研究。你的硕士是</w:t>
      </w:r>
      <w:r>
        <w:rPr>
          <w:rFonts w:ascii="Times New Roman" w:hAnsi="Times New Roman" w:eastAsia="宋体"/>
          <w:b/>
          <w:sz w:val="24"/>
        </w:rPr>
        <w:t>授课型 MSc（约 1 年，NUS AME/能源方向）</w:t>
      </w:r>
      <w:r>
        <w:rPr>
          <w:rFonts w:ascii="Times New Roman" w:hAnsi="Times New Roman" w:eastAsia="宋体"/>
          <w:b w:val="0"/>
          <w:sz w:val="24"/>
        </w:rPr>
        <w:t>，毕设是硕士阶段唯一完整的"研究作品"。课题 65 的位置：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学科</w:t>
      </w:r>
      <w:r>
        <w:rPr>
          <w:rFonts w:ascii="Times New Roman" w:hAnsi="Times New Roman" w:eastAsia="宋体"/>
          <w:b w:val="0"/>
          <w:sz w:val="24"/>
        </w:rPr>
        <w:t>：电催化 × 能源材料（OER/PEM 电解）——NUS AME（材料）与化工系均有对应硕士课程与课题组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产业</w:t>
      </w:r>
      <w:r>
        <w:rPr>
          <w:rFonts w:ascii="Times New Roman" w:hAnsi="Times New Roman" w:eastAsia="宋体"/>
          <w:b w:val="0"/>
          <w:sz w:val="24"/>
        </w:rPr>
        <w:t>：PEM 电解槽（Siemens Energy/ITM/康明斯/Plug Power）+ 中国绿氢企业（阳光氢能/隆基氢能等）——"低铱/无铱阳极"是行业头号瓶颈，人才需求明确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1.2 硕士阶段三条路径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2822"/>
        <w:gridCol w:w="2822"/>
        <w:gridCol w:w="2822"/>
      </w:tblGrid>
      <w:tr>
        <w:tc>
          <w:tcPr>
            <w:tcW w:type="dxa" w:w="131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路径</w:t>
            </w:r>
          </w:p>
        </w:tc>
        <w:tc>
          <w:tcPr>
            <w:tcW w:type="dxa" w:w="263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可行性</w:t>
            </w:r>
          </w:p>
        </w:tc>
        <w:tc>
          <w:tcPr>
            <w:tcW w:type="dxa" w:w="6881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课题 65 的支撑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A. 硕士期间 RA/助研延续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★★★★★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薛军民是 MSE 系主任，组内资源充足；毕设表现出色 → 硕士申请组内 RA（每周兼职）→ 把 OER 工作深化（博士预备）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B. 硕士后申 NUS/海外 PhD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★★★★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授课型 MSc 申 PhD 需重新申请（NUS PhD 每年 1/8 月 intake）；毕设完整数据+导师强推是核心筹码；课题 65 的"合成+表征+电化学"全流程训练正是 PhD 申请者该有的完整技能包</w:t>
            </w:r>
          </w:p>
        </w:tc>
      </w:tr>
      <w:tr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/>
                <w:sz w:val="24"/>
              </w:rPr>
              <w:t>C. 硕士后就业（绿氢/储能）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★★★★</w:t>
            </w:r>
          </w:p>
        </w:tc>
        <w:tc>
          <w:tcPr>
            <w:tcW w:type="dxa" w:w="282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PEM 电解是商业化最成熟的绿氢路线，懂"低铱催化剂+电化学评价+耐久性"的毕业生直接对口电解槽企业研发岗</w:t>
            </w:r>
          </w:p>
        </w:tc>
      </w:tr>
    </w:tbl>
    <w:p/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1.3 与硕士课程的衔接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毕设技能（CV/LSV/Tafel/EIS/XRD/XPS）在硕士《材料表征》《电化学》课程直接复用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硕士选课建议（已有选课页签）：MLE4210（储能材料，能源大背景）+ MLE4201（表征）仍最对口；若想补催化理论可加 MLE4217（材料大数据，若走数据驱动催化）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1.4 导师头衔的真相与价值（调研结论）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澄清</w:t>
      </w:r>
      <w:r>
        <w:rPr>
          <w:rFonts w:ascii="Times New Roman" w:hAnsi="Times New Roman" w:eastAsia="宋体"/>
          <w:b w:val="0"/>
          <w:sz w:val="24"/>
        </w:rPr>
        <w:t xml:space="preserve">：薛军民不是"院长"——他是 </w:t>
      </w:r>
      <w:r>
        <w:rPr>
          <w:rFonts w:ascii="Times New Roman" w:hAnsi="Times New Roman" w:eastAsia="宋体"/>
          <w:b/>
          <w:sz w:val="24"/>
        </w:rPr>
        <w:t>NUS 材料科学与工程系（MSE）系主任（Head of Department）</w:t>
      </w:r>
      <w:r>
        <w:rPr>
          <w:rFonts w:ascii="Times New Roman" w:hAnsi="Times New Roman" w:eastAsia="宋体"/>
          <w:b w:val="0"/>
          <w:sz w:val="24"/>
        </w:rPr>
        <w:t>，正教授；CDE 学院层面另有 Dean（院长）。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头衔的实际价值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推荐信分量</w:t>
      </w:r>
      <w:r>
        <w:rPr>
          <w:rFonts w:ascii="Times New Roman" w:hAnsi="Times New Roman" w:eastAsia="宋体"/>
          <w:b w:val="0"/>
          <w:sz w:val="24"/>
        </w:rPr>
        <w:t>：Head of Department 的推荐信在学术界有额外分量（体现系级认可）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资源与名额</w:t>
      </w:r>
      <w:r>
        <w:rPr>
          <w:rFonts w:ascii="Times New Roman" w:hAnsi="Times New Roman" w:eastAsia="宋体"/>
          <w:b w:val="0"/>
          <w:sz w:val="24"/>
        </w:rPr>
        <w:t>：系主任能直接影响 RA 名额、设备资源、博士录取的系内推荐——对"硕士→组内 RA→PhD"路径是实质性利好</w:t>
      </w:r>
    </w:p>
    <w:p>
      <w:pPr>
        <w:spacing w:line="360" w:lineRule="auto"/>
        <w:ind w:left="839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指导密度风险</w:t>
      </w:r>
      <w:r>
        <w:rPr>
          <w:rFonts w:ascii="Times New Roman" w:hAnsi="Times New Roman" w:eastAsia="宋体"/>
          <w:b w:val="0"/>
          <w:sz w:val="24"/>
        </w:rPr>
        <w:t>：系主任行政事务多，直接指导时间可能少于普通教授——进组后要主动确认带教安排（PhD/RA 师兄师姐带教）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/>
          <w:sz w:val="24"/>
        </w:rPr>
        <w:t>311 学生升博案例</w:t>
      </w:r>
      <w:r>
        <w:rPr>
          <w:rFonts w:ascii="Times New Roman" w:hAnsi="Times New Roman" w:eastAsia="宋体"/>
          <w:b w:val="0"/>
          <w:sz w:val="24"/>
        </w:rPr>
        <w:t>：公开渠道查不到"311 → 薛军民博士"的具体先例（该信息不在公开网页）。</w:t>
      </w:r>
      <w:r>
        <w:rPr>
          <w:rFonts w:ascii="Times New Roman" w:hAnsi="Times New Roman" w:eastAsia="宋体"/>
          <w:b/>
          <w:sz w:val="24"/>
        </w:rPr>
        <w:t>建议进组/宣讲时直接问</w:t>
      </w:r>
      <w:r>
        <w:rPr>
          <w:rFonts w:ascii="Times New Roman" w:hAnsi="Times New Roman" w:eastAsia="宋体"/>
          <w:b w:val="0"/>
          <w:sz w:val="24"/>
        </w:rPr>
        <w:t>：①组里硕士升博的先例与比例 ②授课型 MSc 转 RA/PhD 的实际通道 ③他历年学生去向。校友案例（毕设→MSc 一作）证明 311 通道本身可行，具体到薛组需当面确认。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FYP 准备阶段具体事项</w:t>
      </w:r>
    </w:p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2.1 文献准备（官方 2 篇 + 补充）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官方文献</w:t>
      </w:r>
      <w:r>
        <w:rPr>
          <w:rFonts w:ascii="Times New Roman" w:hAnsi="Times New Roman" w:eastAsia="宋体"/>
          <w:b w:val="0"/>
          <w:sz w:val="24"/>
        </w:rPr>
        <w:t>（必须精读）：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 w:val="0"/>
          <w:sz w:val="24"/>
        </w:rPr>
        <w:t xml:space="preserve">Li A. et al. </w:t>
      </w:r>
      <w:r>
        <w:rPr>
          <w:rFonts w:ascii="Times New Roman" w:hAnsi="Times New Roman" w:eastAsia="宋体"/>
          <w:b w:val="0"/>
          <w:i/>
          <w:sz w:val="24"/>
        </w:rPr>
        <w:t>Atomically dispersed hexavalent iridium oxide from MnO₂ reduction for oxygen evolution catalysis</w:t>
      </w:r>
      <w:r>
        <w:rPr>
          <w:rFonts w:ascii="Times New Roman" w:hAnsi="Times New Roman" w:eastAsia="宋体"/>
          <w:b w:val="0"/>
          <w:sz w:val="24"/>
        </w:rPr>
        <w:t xml:space="preserve">, </w:t>
      </w:r>
      <w:r>
        <w:rPr>
          <w:rFonts w:ascii="Times New Roman" w:hAnsi="Times New Roman" w:eastAsia="宋体"/>
          <w:b/>
          <w:sz w:val="24"/>
        </w:rPr>
        <w:t>Science 2024</w:t>
      </w:r>
      <w:r>
        <w:rPr>
          <w:rFonts w:ascii="Times New Roman" w:hAnsi="Times New Roman" w:eastAsia="宋体"/>
          <w:b w:val="0"/>
          <w:sz w:val="24"/>
        </w:rPr>
        <w:t>, 384, 666–670 —— MnO₂ 还原法制原子分散 Ir，课题 65 的直接原型（MnO₂ 既是载体又参与还原）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 w:val="0"/>
          <w:sz w:val="24"/>
        </w:rPr>
        <w:t xml:space="preserve">Yang C. et al. </w:t>
      </w:r>
      <w:r>
        <w:rPr>
          <w:rFonts w:ascii="Times New Roman" w:hAnsi="Times New Roman" w:eastAsia="宋体"/>
          <w:b w:val="0"/>
          <w:i/>
          <w:sz w:val="24"/>
        </w:rPr>
        <w:t>Sulfur-Doped IrO₂ Enable Pathway Switch to Lattice Oxygen Mechanism with Enhanced Stability for Low Iridium PEM Water Electrolysis</w:t>
      </w:r>
      <w:r>
        <w:rPr>
          <w:rFonts w:ascii="Times New Roman" w:hAnsi="Times New Roman" w:eastAsia="宋体"/>
          <w:b w:val="0"/>
          <w:sz w:val="24"/>
        </w:rPr>
        <w:t xml:space="preserve">, </w:t>
      </w:r>
      <w:r>
        <w:rPr>
          <w:rFonts w:ascii="Times New Roman" w:hAnsi="Times New Roman" w:eastAsia="宋体"/>
          <w:b/>
          <w:sz w:val="24"/>
        </w:rPr>
        <w:t>Adv. Mater. 2025</w:t>
      </w:r>
      <w:r>
        <w:rPr>
          <w:rFonts w:ascii="Times New Roman" w:hAnsi="Times New Roman" w:eastAsia="宋体"/>
          <w:b w:val="0"/>
          <w:sz w:val="24"/>
        </w:rPr>
        <w:t>, 37, 2507560 —— 低铱 PEM 的稳定性策略（晶格氧机制）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已自动下载并精读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OER meta-analysis（Nat. Commun. 2019, 10, 1493）——OER 活性-性质关联的数据驱动分析，建立活性评价方法论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建议补充（用户手动下载，见 2.4 清单）</w:t>
      </w:r>
      <w:r>
        <w:rPr>
          <w:rFonts w:ascii="Times New Roman" w:hAnsi="Times New Roman" w:eastAsia="宋体"/>
          <w:b w:val="0"/>
          <w:sz w:val="24"/>
        </w:rPr>
        <w:t>：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Iridium demand 综述（Catalysis Today 2023）——Ir 供应限制=课题立项动机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1-2 篇 OER 机理综述（AEM/LOM、OH/O/OOH 中间体）+ PEM 电解综述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2.2 知识准备（按时间线）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1 周（9 月第 1 周）——建立 OER 基础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精读官方 2 篇 + meta 分析报告（已完成 meta 分析；官方 2 篇待手动下载后精读）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理解 OER 四步机理（OH→O→OOH→O₂）、吸附质演化机制 AEM vs 晶格氧机制 LOM、Tafel 斜率含义、过电位/eta@10mA/cm² 评价指标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理解 PEM 电解槽结构（阳极/膜/阴极）、Ir 基催化剂为何不可替代（酸性+氧化电位下唯一稳定）、低铱策略全景（核壳/掺杂/载体/单原子）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2 周——合成与表征预习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微波辅助多元醇法原理（乙二醇还原性、微波加热 vs 传统加热、成核控制）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XRD/SEM/TEM/XPS 对催化剂表征的读图训练（结合 MLE4201 课程）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阅读薛组近期论文（xuejmgroup 主页：research.nus.edu.sg/xuejmgroup）——了解组内 OER 工作风格与设备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第 3 周——电化学评价方法论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LSV 极化曲线（iR 补偿、扫描速率）、Tafel 分析、EIS（已学）、计时电位/计时电流耐久性测试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 xml:space="preserve"> ] 三电极体系搭建规范（RHE 校准、催化剂 ink 制备、载量计算 mg/cm²）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2.3 进组前必问清单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微波反应器</w:t>
      </w:r>
      <w:r>
        <w:rPr>
          <w:rFonts w:ascii="Times New Roman" w:hAnsi="Times New Roman" w:eastAsia="宋体"/>
          <w:b w:val="0"/>
          <w:sz w:val="24"/>
        </w:rPr>
        <w:t>：组里自有还是公共预约？每周可用次数？（决定实验节奏）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带教安排</w:t>
      </w:r>
      <w:r>
        <w:rPr>
          <w:rFonts w:ascii="Times New Roman" w:hAnsi="Times New Roman" w:eastAsia="宋体"/>
          <w:b w:val="0"/>
          <w:sz w:val="24"/>
        </w:rPr>
        <w:t>：负责带你的 PhD/RA 是谁？他/她的课题是否相关？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Ir 前驱体</w:t>
      </w:r>
      <w:r>
        <w:rPr>
          <w:rFonts w:ascii="Times New Roman" w:hAnsi="Times New Roman" w:eastAsia="宋体"/>
          <w:b w:val="0"/>
          <w:sz w:val="24"/>
        </w:rPr>
        <w:t>：IrCl₃/H₂IrCl₆ 的来源与经费（贵金属成本）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测试平台</w:t>
      </w:r>
      <w:r>
        <w:rPr>
          <w:rFonts w:ascii="Times New Roman" w:hAnsi="Times New Roman" w:eastAsia="宋体"/>
          <w:b w:val="0"/>
          <w:sz w:val="24"/>
        </w:rPr>
        <w:t>：三电极电化学工作站、XRD/SEM/XPS 的预约渠道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安全培训</w:t>
      </w:r>
      <w:r>
        <w:rPr>
          <w:rFonts w:ascii="Times New Roman" w:hAnsi="Times New Roman" w:eastAsia="宋体"/>
          <w:b w:val="0"/>
          <w:sz w:val="24"/>
        </w:rPr>
        <w:t>：微波反应器操作、化学药品（乙二醇/含 Ir 废液处理）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硕士衔接</w:t>
      </w:r>
      <w:r>
        <w:rPr>
          <w:rFonts w:ascii="Times New Roman" w:hAnsi="Times New Roman" w:eastAsia="宋体"/>
          <w:b w:val="0"/>
          <w:sz w:val="24"/>
        </w:rPr>
        <w:t>：组内 RA 机会、硕士升博先例（见 1.4）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7. </w:t>
      </w:r>
      <w:r>
        <w:rPr>
          <w:rFonts w:ascii="Times New Roman" w:hAnsi="Times New Roman" w:eastAsia="宋体"/>
          <w:b/>
          <w:sz w:val="24"/>
        </w:rPr>
        <w:t>产出预期</w:t>
      </w:r>
      <w:r>
        <w:rPr>
          <w:rFonts w:ascii="Times New Roman" w:hAnsi="Times New Roman" w:eastAsia="宋体"/>
          <w:b w:val="0"/>
          <w:sz w:val="24"/>
        </w:rPr>
        <w:t>：毕设结束时的交付物（数据量/是否参与论文）</w:t>
      </w:r>
    </w:p>
    <w:p/>
    <w:p>
      <w:pPr>
        <w:pStyle w:val="4"/>
        <w:pageBreakBefore w:val="0"/>
      </w:pPr>
      <w:r>
        <w:rPr>
          <w:rFonts w:ascii="Times New Roman" w:hAnsi="Times New Roman" w:eastAsia="宋体"/>
          <w:b/>
          <w:sz w:val="32"/>
        </w:rPr>
        <w:t>2.4 手动下载清单（带 http 完整 DOI）</w:t>
      </w:r>
    </w:p>
    <w:tbl>
      <w:tblPr>
        <w:tblStyle w:val="21"/>
        <w:tblW w:type="auto" w:w="0"/>
        <w:jc w:val="center"/>
        <w:tblLook w:firstColumn="1" w:firstRow="1" w:lastColumn="0" w:lastRow="0" w:noHBand="0" w:noVBand="1" w:val="04A0"/>
      </w:tblPr>
      <w:tblGrid>
        <w:gridCol w:w="4232"/>
        <w:gridCol w:w="4232"/>
      </w:tblGrid>
      <w:tr>
        <w:tc>
          <w:tcPr>
            <w:tcW w:type="dxa" w:w="2418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文献</w:t>
            </w:r>
          </w:p>
        </w:tc>
        <w:tc>
          <w:tcPr>
            <w:tcW w:type="dxa" w:w="6045"/>
            <w:shd w:fill="D9D9D9"/>
          </w:tcPr>
          <w:p>
            <w:pPr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20"/>
              </w:rPr>
              <w:t>网址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官方</w:t>
            </w: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1] Li 2024 Science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https://doi.org/10.1126/science.adg5193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官方</w:t>
            </w:r>
            <w:r>
              <w:rPr>
                <w:rFonts w:ascii="Times New Roman" w:hAnsi="Times New Roman" w:eastAsia="宋体"/>
                <w:b w:val="0"/>
                <w:sz w:val="24"/>
              </w:rPr>
              <w:t>[</w:t>
            </w:r>
            <w:r>
              <w:rPr>
                <w:rFonts w:ascii="Times New Roman" w:hAnsi="Times New Roman" w:eastAsia="宋体"/>
                <w:b w:val="0"/>
                <w:sz w:val="24"/>
              </w:rPr>
              <w:t>2] Yang 2025 Adv. Mater.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https://doi.org/10.1002/adma.202507560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补充 Ir 需求综述（Catalysis Today 2023）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https://doi.org/10.1016/j.cattod.2023.114140</w:t>
            </w:r>
          </w:p>
        </w:tc>
      </w:tr>
      <w:tr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补充 OER 机理综述（建议）</w:t>
            </w:r>
          </w:p>
        </w:tc>
        <w:tc>
          <w:tcPr>
            <w:tcW w:type="dxa" w:w="4232"/>
          </w:tcPr>
          <w:p>
            <w:pPr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https://doi.org/10.1021/acs.chemrev.1c00900（Chem. Rev. 2022 电解水催化综述，若订阅不可用可选其他）</w:t>
            </w:r>
          </w:p>
        </w:tc>
      </w:tr>
    </w:tbl>
    <w:p/>
    <w:p/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下载后放入 </w:t>
      </w:r>
      <w:r>
        <w:rPr>
          <w:rFonts w:ascii="Consolas" w:hAnsi="Consolas" w:eastAsia="Consolas"/>
          <w:sz w:val="24"/>
          <w:shd w:fill="F0F0F0"/>
        </w:rPr>
        <w:t>D:\NUS311RA\毕设7课题文献\课题65-微波低铱PEM催化\</w:t>
      </w:r>
      <w:r>
        <w:rPr>
          <w:rFonts w:ascii="Times New Roman" w:hAnsi="Times New Roman" w:eastAsia="宋体"/>
          <w:b w:val="0"/>
          <w:sz w:val="24"/>
        </w:rPr>
        <w:t xml:space="preserve"> 并告知，我立即补精读与工作台链接。</w:t>
      </w:r>
    </w:p>
    <w:p/>
    <w:p>
      <w:pPr>
        <w:spacing w:before="120" w:after="120"/>
        <w:pBdr>
          <w:bottom w:val="single" w:sz="6" w:color="CCCCCC"/>
        </w:pBdr>
      </w:pP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一句话总结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 xml:space="preserve">课题 65 = </w:t>
      </w:r>
      <w:r>
        <w:rPr>
          <w:rFonts w:ascii="Times New Roman" w:hAnsi="Times New Roman" w:eastAsia="宋体"/>
          <w:b/>
          <w:sz w:val="24"/>
        </w:rPr>
        <w:t>产业叙事最硬（PEM 降本刚需）× 产出确定性最高（参数优化型）× 导师头衔最实（MSE 系主任）</w:t>
      </w:r>
      <w:r>
        <w:rPr>
          <w:rFonts w:ascii="Times New Roman" w:hAnsi="Times New Roman" w:eastAsia="宋体"/>
          <w:b w:val="0"/>
          <w:sz w:val="24"/>
        </w:rPr>
        <w:t xml:space="preserve"> 的选择；硕士阶段凭"完整 OER 研究作品 + 系主任强推"可走 RA 延续/申博/绿氢就业三条路。FYP 关键在 9 月完成 OER 机理+合成+电化学评价三块知识准备，10 月进组即能上手。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归档：D:\NUS311RA\课题65-入选指南-硕士前景与FYP准备.md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