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文献精读报告：High-Power Near-Neutral Aqueous All Organic Redox Flow Battery Enabled with a Pair of Anionic Redox Species（一对阴离子氧化还原物种实现高功率近中性全有机水系液流电池）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编制日期：2026年09月01日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：Mengqi Gao、Manohar Salla、Yuxi Song、Qing Wang\（新加坡国立大学 材料科学与工程系，通讯作者 Qing Wang，即课题52 导师 WANG Qing 课题组）｜Angewandte Chemie International Edition（Research Article）｜2022, 61, e202208223（7 页）｜DOI 10.1002/anie.202208223｜精读日期 2026-09-01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证据分级：R0=原文事实（附页码锚点，采用期刊印刷页码 1–7）｜R1=外部背景｜R2=推断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本文为课题52 官方文献清单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2]。作者提出一对</w:t>
      </w:r>
      <w:r>
        <w:rPr>
          <w:rFonts w:ascii="Times New Roman" w:hAnsi="Times New Roman" w:eastAsia="宋体"/>
          <w:b/>
          <w:sz w:val="24"/>
        </w:rPr>
        <w:t>阴离子型</w:t>
      </w:r>
      <w:r>
        <w:rPr>
          <w:rFonts w:ascii="Times New Roman" w:hAnsi="Times New Roman" w:eastAsia="宋体"/>
          <w:b w:val="0"/>
          <w:sz w:val="24"/>
        </w:rPr>
        <w:t xml:space="preserve">有机氧化还原物种用于近中性（near-neutral）全有机水系液流电池（AORFB）：负极电解液（anolyte）为膦酸酯功能化、苯撑桥联紫精衍生物 1,1′-bis(3-phosphonopropyl)-4,4′-(1,4-phenylene)bispyridinium dibromide，简称 (PPBPy)Br₂；正极电解液（catholyte）为长侧链磺酸 TEMPO 衍生物 4-(propoxy-3-sodium sulfonate)-TEMPO，简称 PSS-TEMPO（R0, p.1–2）。两者氧化还原电位分别为 −0.801 V 与 +0.805 V vs SHE，电池电压达 1.61 V（R0, p.2）。关键性能：(PPBPy)Br₂ 与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Fe(CN)₆]³⁻/⁴⁻ 配对的半电池 1000 循环（&gt;16 天）无可察觉容量衰减；PSS-TEMPO 容量衰减率低至 0.012 %/cycle（0.71 %/day）（R0, p.1, p.3–4）。两者经阳离子交换膜（CEM）的渗透率低至 ~10⁻¹² cm² s⁻¹ 量级（R0, p.3）。全电池峰值功率密度 </w:t>
      </w:r>
      <w:r>
        <w:rPr>
          <w:rFonts w:ascii="Times New Roman" w:hAnsi="Times New Roman" w:eastAsia="宋体"/>
          <w:b/>
          <w:sz w:val="24"/>
        </w:rPr>
        <w:t>509 mW cm⁻²</w:t>
      </w:r>
      <w:r>
        <w:rPr>
          <w:rFonts w:ascii="Times New Roman" w:hAnsi="Times New Roman" w:eastAsia="宋体"/>
          <w:b w:val="0"/>
          <w:sz w:val="24"/>
        </w:rPr>
        <w:t>，为当时所有已报道近中性水系液流电池（无论有机/无机）中的最高值（R0, p.5）。文章还通过循环前后 ¹H NMR + ESI-MS 精确定位了 PSS-TEMPO 的降解机理（硝基氧 N–O• 受质子攻击断键为 N–H），并给出抑制策略（R0, p.4）。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课题关联分析（与课题52 的直接关联）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"材料选择逻辑"是毕设第一课</w:t>
      </w:r>
      <w:r>
        <w:rPr>
          <w:rFonts w:ascii="Times New Roman" w:hAnsi="Times New Roman" w:eastAsia="宋体"/>
          <w:b w:val="0"/>
          <w:sz w:val="24"/>
        </w:rPr>
        <w:t>：文章的开创性在于把"电荷排斥"策略推到极致——</w:t>
      </w:r>
      <w:r>
        <w:rPr>
          <w:rFonts w:ascii="Times New Roman" w:hAnsi="Times New Roman" w:eastAsia="宋体"/>
          <w:b/>
          <w:sz w:val="24"/>
        </w:rPr>
        <w:t>正负极物种都带负电荷，与 CEM 固定负电荷同号排斥</w:t>
      </w:r>
      <w:r>
        <w:rPr>
          <w:rFonts w:ascii="Times New Roman" w:hAnsi="Times New Roman" w:eastAsia="宋体"/>
          <w:b w:val="0"/>
          <w:sz w:val="24"/>
        </w:rPr>
        <w:t>，从而同时解决三个老问题：① 正电物种 + 阴离子交换膜（AEM）膜电阻高 → 功率密度低；② 正电物种 + CEM → 膜污染；③ 低电荷阴离子（如 (SPr)₂V）交叉仍快（R0, p.1–2）。毕设对比不同材料体系时，电荷符号 × 膜类型 × 电位窗口是核心设计变量。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近中性电解液条件是毕设基准</w:t>
      </w:r>
      <w:r>
        <w:rPr>
          <w:rFonts w:ascii="Times New Roman" w:hAnsi="Times New Roman" w:eastAsia="宋体"/>
          <w:b w:val="0"/>
          <w:sz w:val="24"/>
        </w:rPr>
        <w:t>：全文在 1–2 M NaCl 支持电解液、近中性条件下完成（R0, p.3, p.5）；课题52 若做"不同电解液条件"对比，本体系是可复现的基准之一。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全套表征方法可直接照搬</w:t>
      </w:r>
      <w:r>
        <w:rPr>
          <w:rFonts w:ascii="Times New Roman" w:hAnsi="Times New Roman" w:eastAsia="宋体"/>
          <w:b w:val="0"/>
          <w:sz w:val="24"/>
        </w:rPr>
        <w:t xml:space="preserve">：CV 多扫速 + Nicholson 法、RDE-LSV + Koutecký–Levich 法双方法交叉求 D 与 k⁰（Table 2）；H 型双室池测渗透率；半电池稳定性测试（被测物配对惰性稳定的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Fe(CN)₆]³⁻/⁴⁻）；全电池恒流循环（CE/EE/容量保持）+ 倍率阶梯 + 100% SOC 极化功率曲线（R0, p.2–5）——与课题52 计划（CV/UV-vis/溶解度/稳定性 → 流动电池容量/库仑效率/电压效率/能量效率/倍率/容量保持）逐项对应。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衰减机理研究范式</w:t>
      </w:r>
      <w:r>
        <w:rPr>
          <w:rFonts w:ascii="Times New Roman" w:hAnsi="Times New Roman" w:eastAsia="宋体"/>
          <w:b w:val="0"/>
          <w:sz w:val="24"/>
        </w:rPr>
        <w:t>：循环前后取电解液小样做 ¹H NMR/ESI-MS，锁定降解产物再提出抑制策略——这是课题52"稳定性评估"可直接复制的闭环流程（R0, p.4）。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数据呈现模板</w:t>
      </w:r>
      <w:r>
        <w:rPr>
          <w:rFonts w:ascii="Times New Roman" w:hAnsi="Times New Roman" w:eastAsia="宋体"/>
          <w:b w:val="0"/>
          <w:sz w:val="24"/>
        </w:rPr>
        <w:t>：Table 1（本工作 vs 文献同系物的电位/电荷态/膜类型对照表）是两学生横向对比不同材料体系的现成模板（R0, p.1）。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（一）引言与设计动机（p.1–2）</w:t>
      </w:r>
      <w:r>
        <w:rPr>
          <w:rFonts w:ascii="Times New Roman" w:hAnsi="Times New Roman" w:eastAsia="宋体"/>
          <w:b w:val="0"/>
          <w:sz w:val="24"/>
        </w:rPr>
        <w:t>。VFB 是已兆瓦级商用的液流电池，但受钒资源有限、电解液腐蚀、热稳定性差制约；AORFB 因有机物种的电位/溶解度/渗透性可调而成为替代方向（R0, p.1）。早期 MV/4-羟基-TEMPO 电池用 AEM 分隔，存在物种交叉与甲基紫精双分子分解问题；后续氨（铵）基功能化使物种带正电，与 AEM 同号排斥而改善稳定性与交叉，但 AEM 电阻高、且正电物种配 CEM 会膜污染（R0, p.1–2）。2018 年 Liu 组提出磺酸化紫精 (SPr)₂V 兼容 CEM，但其氧化态（0）与还原态（−1）电荷低，交叉仍快；2020 年 Aziz 组引入膦酸化紫精改善交叉，却因电压低仅获 143 mW cm⁻² 面积功率（R0, p.2）。本文据此提出双阴离子对 + CEM 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（二）合成（p.2）</w:t>
      </w:r>
      <w:r>
        <w:rPr>
          <w:rFonts w:ascii="Times New Roman" w:hAnsi="Times New Roman" w:eastAsia="宋体"/>
          <w:b w:val="0"/>
          <w:sz w:val="24"/>
        </w:rPr>
        <w:t>。(PPBPy)Br₂ 两步合成、总产率 77%、免色谱纯化（前驱体 PhPy 由 Suzuki–Miyaura 反应一步制得，产率&gt;90%）；PSS-TEMPO 由市售 4-羟基-TEMPO 与 1,3-丙磺酸内酯一步反应，产率 70%——强调"快速便捷、面向放大"的合成路线（R0, p.2）。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（三）基础电化学与物性（p.2–3）</w:t>
      </w:r>
      <w:r>
        <w:rPr>
          <w:rFonts w:ascii="Times New Roman" w:hAnsi="Times New Roman" w:eastAsia="宋体"/>
          <w:b w:val="0"/>
          <w:sz w:val="24"/>
        </w:rPr>
        <w:t>。电位 −0.801 V / +0.805 V vs SHE → 电池电压 1.606 V，显著高于常见 AORFB（R0, p.2）。溶解度 (PPBPy)Br₂ &gt;1.10 M、PSS-TEMPO &gt;2.55 M，对应体积容量 29.48 / 68.43 Ah L⁻¹，理论能量密度 33.1 Wh L⁻¹（R0, p.2）。注意：虽然苯撑桥联联吡啶衍生物在水溶液中两电子还原可逆，但 (PPBPy)Br₂ 的第二电子还原电位过低触发严重析氢（HER），</w:t>
      </w:r>
      <w:r>
        <w:rPr>
          <w:rFonts w:ascii="Times New Roman" w:hAnsi="Times New Roman" w:eastAsia="宋体"/>
          <w:b/>
          <w:sz w:val="24"/>
        </w:rPr>
        <w:t>本工作只使用其第一电子还原</w:t>
      </w:r>
      <w:r>
        <w:rPr>
          <w:rFonts w:ascii="Times New Roman" w:hAnsi="Times New Roman" w:eastAsia="宋体"/>
          <w:b w:val="0"/>
          <w:sz w:val="24"/>
        </w:rPr>
        <w:t>（R0, p.2）——这是"理论双电子 vs 实际单电子"的典型案例。动力学参数（Table 2）：D 约 10⁻⁶ cm² s⁻¹、k⁰ 约 10⁻³ cm s⁻¹ 量级，两种方法（Nicholson：2.08–5.08 × 10⁻⁶ cm² s⁻¹；Koutecký–Levich：3.36–3.91 × 10⁻⁶ cm² s⁻¹）基本一致，与文献有机/无机介体相当（R0, p.3）。渗透率（E620K 膜，双室 H 型池）：(PPBPy)Br₂ 约 1.17 × 10⁻¹² cm² s⁻¹，比 (SPr)₂V 低两个数量级以上；PSS-TEMPO 约 5.36 × 10⁻¹² cm² s⁻¹，比 4-羟基-TEMPO 低 30 倍以上（R0, p.3）。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（四）稳定性与降解机理（p.3–4）</w:t>
      </w:r>
      <w:r>
        <w:rPr>
          <w:rFonts w:ascii="Times New Roman" w:hAnsi="Times New Roman" w:eastAsia="宋体"/>
          <w:b w:val="0"/>
          <w:sz w:val="24"/>
        </w:rPr>
        <w:t>。半电池测试：0.10 M (PPBPy)Br₂ / K₄Fe(CN)₆ 在 30 mA cm⁻² 循环 1000 次（&gt;16 天）无可察觉容量衰减，¹H NMR 未见分解产物——归因于膦酸酯基负电荷的静电排斥 + 大位阻抑制还原态二聚（紫精类通病），苯撑桥 π 共轭离域电荷进一步维持结构完整（R0, p.3–4）。K₃Fe(CN)₆ / PSS-TEMPO 全充放循环&gt;20 天，容量自 33.9 mAh 降至 29.0 mAh，即 0.012 %/cycle 或 0.71 %/day，与文献中最稳定的 TEMPO 衍生物相当（R0, p.4）。机理研究：循环后 ¹H NMR 出现新峰 + ESI-MS 证实 PSS-TEMPO 发生硝基氧自由基 N–O• 到 N–H 的断键降解，推断为</w:t>
      </w:r>
      <w:r>
        <w:rPr>
          <w:rFonts w:ascii="Times New Roman" w:hAnsi="Times New Roman" w:eastAsia="宋体"/>
          <w:b/>
          <w:sz w:val="24"/>
        </w:rPr>
        <w:t>质子攻击</w:t>
      </w:r>
      <w:r>
        <w:rPr>
          <w:rFonts w:ascii="Times New Roman" w:hAnsi="Times New Roman" w:eastAsia="宋体"/>
          <w:b w:val="0"/>
          <w:sz w:val="24"/>
        </w:rPr>
        <w:t>——质子源于充电末端痕量析氧反应（OER），循环后正极电解液 pH 略降佐证该路径（R0, p.4）。抑制思路：① 高浓度支持电解质（如 ZnCl₂、NH₄Cl），Cl⁻ 屏蔽氧铵阳离子、抑制质子攻击；② 将 TEMPO 甲基换为更庞大基团（可能牺牲动力学）（R0, 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（五）全电池性能（p.4–6）</w:t>
      </w:r>
      <w:r>
        <w:rPr>
          <w:rFonts w:ascii="Times New Roman" w:hAnsi="Times New Roman" w:eastAsia="宋体"/>
          <w:b w:val="0"/>
          <w:sz w:val="24"/>
        </w:rPr>
        <w:t xml:space="preserve">。手套箱内 0.15 M / 0.20 M 电池：40 mA cm⁻² 下&gt;600 循环（11 天）零容量衰减，平均 CE&gt;99.8%、EE≈80%；倍率 10–100 mA cm⁻² 阶梯测试后回到 40 mA cm⁻² 性能完全恢复（R0, p.4）。0.45 M / 0.60 M 电池：60 mA cm⁻² 下&gt;210 h（320 循环）零衰减，CE&gt;99.7%、EE≈77.5%；倍率 40–180 mA cm⁻² 稳定（R0, p.4）。手套箱外（缩短导线、降低欧姆电阻）：100 mA cm⁻² 时 EE 升至 76%；150 mA cm⁻² 时放电平台仍保持 1.25–1.30 V，与 VFB 相当（R0, p.4–5）。极化曲线（100% SOC）：低浓度电池峰值功率 405 mW cm⁻²；高浓度电池达 </w:t>
      </w:r>
      <w:r>
        <w:rPr>
          <w:rFonts w:ascii="Times New Roman" w:hAnsi="Times New Roman" w:eastAsia="宋体"/>
          <w:b/>
          <w:sz w:val="24"/>
        </w:rPr>
        <w:t>509 mW cm⁻²</w:t>
      </w:r>
      <w:r>
        <w:rPr>
          <w:rFonts w:ascii="Times New Roman" w:hAnsi="Times New Roman" w:eastAsia="宋体"/>
          <w:b w:val="0"/>
          <w:sz w:val="24"/>
        </w:rPr>
        <w:t>（电流密度约 600 mA cm⁻²），为当时近中性 RFB 最高纪录；未再提高浓度主要受负极还原态引起的粘度上升限制（R0, p.5）。膜选择：E620(K) 的 ASR 1.05 Ω cm²（2 M NaCl），高于 Nafion 212 的 0.77 Ω cm²，但选择性显著更高，故选用 E620(K)（R0, p.5）。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（六）电压-寿命权衡讨论（p.6）</w:t>
      </w:r>
      <w:r>
        <w:rPr>
          <w:rFonts w:ascii="Times New Roman" w:hAnsi="Times New Roman" w:eastAsia="宋体"/>
          <w:b w:val="0"/>
          <w:sz w:val="24"/>
        </w:rPr>
        <w:t xml:space="preserve">。统计文献发现近中性 AORFB 存在"电压越高、寿命越短"的普遍权衡：MV/FcNCl（1.06 V）1.3 %/day；BTMAP-Vi/BTMAP-Fc（0.75 V）0.1 %/day；BTMAP-Vi/TMAP-TEMPO（1.19 V）稳定性优于 MV/TEMPTMA（1.42 V）与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(NPr)₂TTz]Cl₄/NMe-TEMPO（1.44 V）（R0, p.6）。本工作 1.61 V 电压已超出水的稳定窗口，充电过程 HER/OER 副反应不可避免（初始中性电解液长期运行后阳极侧 pH 稳定在约 10.5、阴极侧约 4.5），但 0.71 %/day 的衰减率仍与正电配对体系相当——展示了阴离子策略的优势（R0, p.6）。备选方案：正极换为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Fe(CN)₆]³⁻/⁴⁻ 可得 1.27 V 的超稳定体系（R0, p.6）。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电压超出水稳定窗口</w:t>
      </w:r>
      <w:r>
        <w:rPr>
          <w:rFonts w:ascii="Times New Roman" w:hAnsi="Times New Roman" w:eastAsia="宋体"/>
          <w:b w:val="0"/>
          <w:sz w:val="24"/>
        </w:rPr>
        <w:t>：1.61 V &gt; 1.23 V 热力学分解电压，充电末端 HER/OER 副反应是 PSS-TEMPO 降解的直接诱因（R0, p.4, p.6）。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双电子潜力未能兑现</w:t>
      </w:r>
      <w:r>
        <w:rPr>
          <w:rFonts w:ascii="Times New Roman" w:hAnsi="Times New Roman" w:eastAsia="宋体"/>
          <w:b w:val="0"/>
          <w:sz w:val="24"/>
        </w:rPr>
        <w:t>：(PPBPy)Br₂ 第二电子还原触发 HER，理论容量只利用了 1e⁻，能量密度打折（R0, p.2）。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高浓度受限</w:t>
      </w:r>
      <w:r>
        <w:rPr>
          <w:rFonts w:ascii="Times New Roman" w:hAnsi="Times New Roman" w:eastAsia="宋体"/>
          <w:b w:val="0"/>
          <w:sz w:val="24"/>
        </w:rPr>
        <w:t>：负极还原态使电解液粘度上升，阻碍进一步提高浓度与功率（R0, p.5）。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衰减归因的严谨性</w:t>
      </w:r>
      <w:r>
        <w:rPr>
          <w:rFonts w:ascii="Times New Roman" w:hAnsi="Times New Roman" w:eastAsia="宋体"/>
          <w:b w:val="0"/>
          <w:sz w:val="24"/>
        </w:rPr>
        <w:t>：全电池测试中正极 PSS-TEMPO 过量（catholyte excess）设计，表观零衰减可能部分掩盖负极衰减；衰减按 100% SOC 满充放模式测得，与部分 SOC 工况的衰减率不同（R0, p.4, p.6）。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膜电阻 vs 选择性的两难</w:t>
      </w:r>
      <w:r>
        <w:rPr>
          <w:rFonts w:ascii="Times New Roman" w:hAnsi="Times New Roman" w:eastAsia="宋体"/>
          <w:b w:val="0"/>
          <w:sz w:val="24"/>
        </w:rPr>
        <w:t>：低电阻 Nafion 212 选择性差，高选择性 E620(K) 电阻更高，制约功率密度进一步提升（R0, p.5）。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可借鉴点（实验设计直接可用）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半电池稳定性测试</w:t>
      </w:r>
      <w:r>
        <w:rPr>
          <w:rFonts w:ascii="Times New Roman" w:hAnsi="Times New Roman" w:eastAsia="宋体"/>
          <w:b w:val="0"/>
          <w:sz w:val="24"/>
        </w:rPr>
        <w:t xml:space="preserve">：将被测分子配对惰性稳定的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Fe(CN)₆]³⁻/⁴⁻ 作对电极，隔离目标分子自身的衰减（R0, p.3）——与 ChemRev 2020"对称电池 + 电位保持"方法学互补，毕设可两者结合。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动力学双方法交叉验证</w:t>
      </w:r>
      <w:r>
        <w:rPr>
          <w:rFonts w:ascii="Times New Roman" w:hAnsi="Times New Roman" w:eastAsia="宋体"/>
          <w:b w:val="0"/>
          <w:sz w:val="24"/>
        </w:rPr>
        <w:t>：CV-Nicholson 法 + RDE-Koutecký–Levich 法同时求 D 与 k⁰（Table 2 格式），两种独立方法互证可显著提高数据可信度（R0, p.3）。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渗透率测试</w:t>
      </w:r>
      <w:r>
        <w:rPr>
          <w:rFonts w:ascii="Times New Roman" w:hAnsi="Times New Roman" w:eastAsia="宋体"/>
          <w:b w:val="0"/>
          <w:sz w:val="24"/>
        </w:rPr>
        <w:t>：双室 H 型池 + E620K 类 CEM，测目标分子渗透率并与文献同系物对比（R0, p.3）。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降解机理闭环</w:t>
      </w:r>
      <w:r>
        <w:rPr>
          <w:rFonts w:ascii="Times New Roman" w:hAnsi="Times New Roman" w:eastAsia="宋体"/>
          <w:b w:val="0"/>
          <w:sz w:val="24"/>
        </w:rPr>
        <w:t>：循环前后取电解液小样（aliquot）做 ¹H NMR / ESI-MS，结合 pH 漂移监测锁定降解路径，再提出抑制策略（R0, p.4）。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全电池测试矩阵</w:t>
      </w:r>
      <w:r>
        <w:rPr>
          <w:rFonts w:ascii="Times New Roman" w:hAnsi="Times New Roman" w:eastAsia="宋体"/>
          <w:b w:val="0"/>
          <w:sz w:val="24"/>
        </w:rPr>
        <w:t>：恒流循环（CE/EE/容量保持，N₂ 手套箱内防 O₂ 干扰）+ 倍率阶梯 + 回跳验证可逆性 + 100% SOC 极化功率曲线 + 手套箱内外对照（量化欧姆电阻影响）（R0, p.4–5）。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数据呈现</w:t>
      </w:r>
      <w:r>
        <w:rPr>
          <w:rFonts w:ascii="Times New Roman" w:hAnsi="Times New Roman" w:eastAsia="宋体"/>
          <w:b w:val="0"/>
          <w:sz w:val="24"/>
        </w:rPr>
        <w:t>：仿 Table 1 制作"本工作 vs 文献同系物"电位/电荷态/膜类型对照表，是两学生对比不同材料体系的直接模板（R0, p.1）。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电解液配制细节</w:t>
      </w:r>
      <w:r>
        <w:rPr>
          <w:rFonts w:ascii="Times New Roman" w:hAnsi="Times New Roman" w:eastAsia="宋体"/>
          <w:b w:val="0"/>
          <w:sz w:val="24"/>
        </w:rPr>
        <w:t>：1–2 M NaCl 支持电解液、近中性条件、N₂ 手套箱环境——毕设复现时可直接采用（R0, p.3, p.5）。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本工作证明"双阴离子对 + CEM"可同时优化功率与寿命，课题52 若选有机体系，电荷符号与膜类型的匹配应作为第一筛选维度（R2）。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1.61 V 高电压与水的稳定窗口矛盾是普遍问题：毕设做"不同电解液条件"对比时，pH（Pourbaix 关系）与电压窗口的关系是核心变量，可通过电极材料选择部分抑制 HER/OER（R0, p.6）。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PSS-TEMPO 的质子攻击降解提示：毕设稳定性实验应主动监测电解液 pH 漂移作为早期预警指标，并可在高氯盐支持电解质条件下重测稳定性（R0, p.4）。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"理论双电子 vs 实际单电子"提醒毕设计算理论容量时须以实测可用电子数（可用 CV 或恒电流阶跃确认）为准，避免高估能量密度（R0, p.2）。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与 Wang 2025 综述衔接：本工作是综述 5.3 节有机设计策略（官能团调电位、位阻稳定、亲水基团增溶、绿色合成）的完整案例；509 mW cm⁻² 则印证了综述"低膜电阻 + 高等效电子浓度 + 快动力学"决定功率密度的框架（R2）。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 w:val="0"/>
          <w:sz w:val="24"/>
        </w:rPr>
        <w:t>若学生希望复现更接近毕设规模的实验，可先以 0.15 M 体系做方法学验证（11 天即可获得零衰减与完整倍率数据），再放大浓度——时间成本可控（R2）。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