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文献精读报告：Materials Design and Assessment of Redox-Mediated Flow Cell Systems for Enhanced Energy Storage and Conversion（氧化还原介导流动电池系统的材料设计与评估）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编制日期：2026年09月01日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元信息</w:t>
      </w:r>
      <w:r>
        <w:rPr>
          <w:rFonts w:ascii="Times New Roman" w:hAnsi="Times New Roman" w:eastAsia="宋体"/>
          <w:b w:val="0"/>
          <w:sz w:val="24"/>
        </w:rPr>
        <w:t>：Zhiyu Wang、Yan Jing\</w:t>
      </w:r>
      <w:r>
        <w:rPr>
          <w:rFonts w:ascii="Times New Roman" w:hAnsi="Times New Roman" w:eastAsia="宋体"/>
          <w:b w:val="0"/>
          <w:i/>
          <w:sz w:val="24"/>
        </w:rPr>
        <w:t>、Qing Wang\</w:t>
      </w:r>
      <w:r>
        <w:rPr>
          <w:rFonts w:ascii="Times New Roman" w:hAnsi="Times New Roman" w:eastAsia="宋体"/>
          <w:b w:val="0"/>
          <w:sz w:val="24"/>
        </w:rPr>
        <w:t>（新加坡国立大学 材料科学与工程系，通讯作者 Yan Jing / Qing Wang，即课题52 导师 WANG Qing 课题组）｜Advanced Materials（Perspective，开放获取）｜2025, 37, e09991｜DOI 10.1002/adma.202509991｜精读日期 2026-09-01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证据分级：R0=原文事实（附页码锚点，采用期刊印刷页码 1–14）｜R1=外部背景｜R2=推断</w:t>
      </w: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1. 文献速览总结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这是一篇 Perspective（立场综述，17 页），由课题52 导师组自己撰写，系统提出"氧化还原介导（redox-mediated）流动电池"的完整框架：用可溶性氧化还原介体（redox mediator, RM）在电极与空间分离的活性相（固/液/气）之间穿梭电子，把传统电极-电解液界面反应改造为"电化学-化学（EC）循环"（R0, p.1–2）。文章先铺陈介导体系在储能（RT-FB 氧化还原靶向液流电池）、燃料电池、电化学 CO₂ 捕集、电合成、废料回收、热电（TREC）、光电化学等领域的应用；随后提出材料设计的六大要求（氧化还原电位、动力学与传质、等效电子浓度、固相容量密度、稳定性与耐久性、成本与可放大性，R0, p.7–10）；再给出贯穿"本征性质→全系统行为"的评估技术矩阵（CV/DPV/EIS/GITT、operando 光谱、膜性能、DFT/MD/FEA/ML 计算、循环与 RT 反应动力学评估，R0, p.10–12）；最后给出无机（配体工程、掺杂、同构物）与有机（氧化还原中心选择、官能团调电位、多位点、溶解度开关、位阻稳定、绿色合成）的具体设计策略（R0, p.12–14）。核心立场：</w:t>
      </w:r>
      <w:r>
        <w:rPr>
          <w:rFonts w:ascii="Times New Roman" w:hAnsi="Times New Roman" w:eastAsia="宋体"/>
          <w:b/>
          <w:sz w:val="24"/>
        </w:rPr>
        <w:t>介导体系把"电化学过程"变成"两种物种间的化学过程"，材料设计的关键是让 RM 与靶材料的电位、动力学、稳定性、成本在系统层面精确对齐</w:t>
      </w:r>
      <w:r>
        <w:rPr>
          <w:rFonts w:ascii="Times New Roman" w:hAnsi="Times New Roman" w:eastAsia="宋体"/>
          <w:b w:val="0"/>
          <w:sz w:val="24"/>
        </w:rPr>
        <w:t>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2. 课题关联分析（与课题52 的直接关联）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材料筛选指标即毕设表征清单</w:t>
      </w:r>
      <w:r>
        <w:rPr>
          <w:rFonts w:ascii="Times New Roman" w:hAnsi="Times New Roman" w:eastAsia="宋体"/>
          <w:b w:val="0"/>
          <w:sz w:val="24"/>
        </w:rPr>
        <w:t>：综述明确的 RM 关键物性——氧化还原电位（须与目标材料/电压窗口匹配）、溶解度（摩尔级）、每分子电子转移数、化学/电化学稳定性、成本（丰产元素）——正是课题52 计划用 CV/UV-vis/溶解度/稳定性表征逐项评估的指标（R0, p.7, p.9）。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稳定性按时间标度评估</w:t>
      </w:r>
      <w:r>
        <w:rPr>
          <w:rFonts w:ascii="Times New Roman" w:hAnsi="Times New Roman" w:eastAsia="宋体"/>
          <w:b w:val="0"/>
          <w:sz w:val="24"/>
        </w:rPr>
        <w:t>：第 3.5 节与第 4.4 节强调 RM 周转数（turnover）&gt;1、容量保留须同时报告 %/cycle 与每日历天（时间标度更贴近实际应用），与 ChemRev 2020"衰减是时间标度"方法论完全一致；毕设报告容量保持时两种标度并列（R0, p.9, p.11）。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固体/介体利用率评估的陷阱</w:t>
      </w:r>
      <w:r>
        <w:rPr>
          <w:rFonts w:ascii="Times New Roman" w:hAnsi="Times New Roman" w:eastAsia="宋体"/>
          <w:b w:val="0"/>
          <w:sz w:val="24"/>
        </w:rPr>
        <w:t>：第 4.4 节明确指出，评估固体容量提升体利用率时须用比电流（C-rate 或 A/g）而非面积电流密度（A/cm²）——恒定面积电流密度下增大电解液体积/浓度/固体装载量会仅因延长反应时间而"虚高"利用率（R0, p.11）。毕设横向对比不同材料体系时这是最重要的数据口径校正。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膜交叉必须定量解耦</w:t>
      </w:r>
      <w:r>
        <w:rPr>
          <w:rFonts w:ascii="Times New Roman" w:hAnsi="Times New Roman" w:eastAsia="宋体"/>
          <w:b w:val="0"/>
          <w:sz w:val="24"/>
        </w:rPr>
        <w:t>：第 4.2 节要求量化膜交叉与污染，把"真实材料衰减"与"膜引起的表观衰减"分开（R0, p.10–11）——毕设容量衰减归因的第一步。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多电子分子与离子效应选材</w:t>
      </w:r>
      <w:r>
        <w:rPr>
          <w:rFonts w:ascii="Times New Roman" w:hAnsi="Times New Roman" w:eastAsia="宋体"/>
          <w:b w:val="0"/>
          <w:sz w:val="24"/>
        </w:rPr>
        <w:t xml:space="preserve">：第 3.3 节"等效电子浓度"概念（多电子分子以更低溶质负载达到同等电子浓度、保持低粘度）与第 5.1 节离子效应增溶（NH₄⁺/Li⁺ 反离子使 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Fe(CN)₆] 浓度达 2 M 以上、AQDS 铵盐 1.9 m 为钠盐 3 倍以上）可直接指导毕设候选材料的筛选与电解液配制（R0, p.9, p.12）。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3. 内容深度解读（按论文结构）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（一）引言：从界面反应到 EC 循环（p.1–3）</w:t>
      </w:r>
      <w:r>
        <w:rPr>
          <w:rFonts w:ascii="Times New Roman" w:hAnsi="Times New Roman" w:eastAsia="宋体"/>
          <w:b w:val="0"/>
          <w:sz w:val="24"/>
        </w:rPr>
        <w:t>。传统电化学体系受限于电极-电解液界面：活性面积、传质、导电性要求、三相接触复杂度均被电极几何约束（R0, p.1）。介导体系把反应区移到独立反应器罐，界面可为液-固、液-气、固-气、液-液，反应可发生在更有利的环境中（R0, p.2）。统一工作原理是 RM 与靶材料间的电位差 ΔE 驱动的 EC 循环；ΔE 的三个来源：① 本征电位不匹配；② 荷电状态（SOC）依赖的 Nernst 电位漂移（双向可逆反应的基础）；③ 环境因素（pH、温度、离子强度）通过 Nernst 效应调制（R0, p.2）。特别介绍 SMRT（单分子氧化还原靶向）概念：RM 与固体电位几乎相等，靠 SOC 变化引起活度变化推动动态平衡移动，从而以低电压损失实现可逆储能（R0, p.2–3）。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（二）应用版图（p.3–7）</w:t>
      </w:r>
      <w:r>
        <w:rPr>
          <w:rFonts w:ascii="Times New Roman" w:hAnsi="Times New Roman" w:eastAsia="宋体"/>
          <w:b w:val="0"/>
          <w:sz w:val="24"/>
        </w:rPr>
        <w:t>。RT-FB 方向：2006 年 Wang 等提出 redox targeting 概念，2013 年出现首台 RT-FB 架构，固态容量提升体（如 LiFePO₄）置于罐外、RM 循环穿梭，打破"固态电池高能量密度 vs 液流电池可放大性"的界限；早期双 RM 方案引入电压损失，后发展为 SMRT（R0, p.3）。介导策略还用于"死材料复活"（DHPS 与锌反应改善锌基液流电池循环；MnO₂ 复活）与介导催化（PB/PBA 电极接枝催化钒物种、抑制析氢析氧；FMN-Na 均相催化多硫化物还原 S₄²⁻→S₂²⁻ 提升倍率性能）（R0, p.3–4）。其他应用：介导燃料电池（锂空、锌空、铁空、氢燃料）、电化学 CO₂ 捕集（亲核性 swing 与 PCET pH-swing 双机制，以 pKa 判据区分）、电合成（V₂⁺/₃⁺-Ce³⁺/⁴⁺ 空间解耦水分解；VFB 基苯甲醛合成近 100% 选择性；AQDS 介导 H₂O₂ 合成）、废料回收（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Fe(CN)₆]³⁻/⁴⁻ 氧化分解废旧 LiFePO₄ 提取 Li⁺、AQDS 补锂修复 LixFePO₄、KNiHCF 选择性回收铵/钾）、TREC 热电（3.61% 绝对热电效率，为静态电池两倍以上）等（R0, p.5–7）。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（三）材料要求（p.7–10，本报告重点）</w:t>
      </w:r>
      <w:r>
        <w:rPr>
          <w:rFonts w:ascii="Times New Roman" w:hAnsi="Times New Roman" w:eastAsia="宋体"/>
          <w:b w:val="0"/>
          <w:sz w:val="24"/>
        </w:rPr>
        <w:t>：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氧化还原电位</w:t>
      </w:r>
      <w:r>
        <w:rPr>
          <w:rFonts w:ascii="Times New Roman" w:hAnsi="Times New Roman" w:eastAsia="宋体"/>
          <w:b w:val="0"/>
          <w:sz w:val="24"/>
        </w:rPr>
        <w:t>：ΔE 是热力学驱动力，但并非越大越好——大 ΔE 加速动力学却牺牲能效与选择性，须权衡；PCET 类 RM 电位随 pH 斜率不同，可用 Pourbaix 图斜率差精确调控 ΔE（R0, p.7）。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动力学与传质</w:t>
      </w:r>
      <w:r>
        <w:rPr>
          <w:rFonts w:ascii="Times New Roman" w:hAnsi="Times New Roman" w:eastAsia="宋体"/>
          <w:b w:val="0"/>
          <w:sz w:val="24"/>
        </w:rPr>
        <w:t>：系统动力学 = 电极上 RM 电化学反应 + 罐内 RM-材料化学反应两段串联，须平衡，避免一方成为瓶颈；可通过调节罐内固体装载量匹配 RM 反应通量；传质靠流场设计、电极孔隙率、低粘度电解液保障（R0, p.8–9）。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等效电子浓度</w:t>
      </w:r>
      <w:r>
        <w:rPr>
          <w:rFonts w:ascii="Times New Roman" w:hAnsi="Times New Roman" w:eastAsia="宋体"/>
          <w:b w:val="0"/>
          <w:sz w:val="24"/>
        </w:rPr>
        <w:t>：溶解度本身不是充分指标，等效电子浓度（= 溶解度 × 每循环电子数 × 利用率）才决定体积容量；多电子转移分子受青睐（R0, p.9）。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固体容量密度</w:t>
      </w:r>
      <w:r>
        <w:rPr>
          <w:rFonts w:ascii="Times New Roman" w:hAnsi="Times New Roman" w:eastAsia="宋体"/>
          <w:b w:val="0"/>
          <w:sz w:val="24"/>
        </w:rPr>
        <w:t>：比容量（mAh/g）与堆积密度共同决定 Ah/L；多孔结构、粒径工程、导电添加剂/表面功能化提升利用率（R0, p.9）。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稳定性</w:t>
      </w:r>
      <w:r>
        <w:rPr>
          <w:rFonts w:ascii="Times New Roman" w:hAnsi="Times New Roman" w:eastAsia="宋体"/>
          <w:b w:val="0"/>
          <w:sz w:val="24"/>
        </w:rPr>
        <w:t>：RM 每循环周转数&gt;1；蒽醌还原态在碱性下二聚化是典型衰减路径；RT-FB 中 SOC 约束会同时削弱驱动力，对材料稳定性要求更苛刻；低 RM 浓度可缓解聚集/沉淀；热力学不稳定但动力学惰性的物种仍可实用（R0, p.9–10）。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6. </w:t>
      </w:r>
      <w:r>
        <w:rPr>
          <w:rFonts w:ascii="Times New Roman" w:hAnsi="Times New Roman" w:eastAsia="宋体"/>
          <w:b/>
          <w:sz w:val="24"/>
        </w:rPr>
        <w:t>成本与可放大性</w:t>
      </w:r>
      <w:r>
        <w:rPr>
          <w:rFonts w:ascii="Times New Roman" w:hAnsi="Times New Roman" w:eastAsia="宋体"/>
          <w:b w:val="0"/>
          <w:sz w:val="24"/>
        </w:rPr>
        <w:t>：丰产元素、避免复杂多步合成、溶液加工/卷对卷等可放大工艺；固定床反应器压降、粘结剂/导电剂选择、模块化工程是放大难点（R0, p.10）。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（四）评估技术（p.10–12）</w:t>
      </w:r>
      <w:r>
        <w:rPr>
          <w:rFonts w:ascii="Times New Roman" w:hAnsi="Times New Roman" w:eastAsia="宋体"/>
          <w:b w:val="0"/>
          <w:sz w:val="24"/>
        </w:rPr>
        <w:t>：电化学方面，CV 是测定电位/可逆性/电子数的主力，多扫速 + Randles–Ševčík 关系求扩散系数 D；DPV 用于粘稠/多组分电解液；EIS 按频率响应分解动力学过程；GITT 给出近工况扩散系数与过电位剖面（R0, p.10）。物性方面，用光学透明流动池做 operando XAS/UV-vis/FTIR 实时跟踪 RM 浓度、价态与化学环境；膜用扩散池测渗透率与 ASR（R0, p.10–11）。计算方面，DFT 预测电位/溶解度/稳定性，MD 估扩散系数/粘度/聚集，FEA 优化流场，ML 高通量筛选（R0, p.11）。系统层面，长循环采用 CC 或 CCCV 协议；固体利用率须以比电流表达；RT 反应动力学可用双电层实验、RDE+OCP（Nernst 方程反推浓度/SOC）或 UV-vis 直接定量 RM 浓度与 SOC（R0, p.11–12）。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（五）设计策略（p.12–14）</w:t>
      </w:r>
      <w:r>
        <w:rPr>
          <w:rFonts w:ascii="Times New Roman" w:hAnsi="Times New Roman" w:eastAsia="宋体"/>
          <w:b w:val="0"/>
          <w:sz w:val="24"/>
        </w:rPr>
        <w:t xml:space="preserve">：通用策略——pH/溶剂化调控（NH₄⁺/Mg²⁺/SO₄²⁻ 稳定钒溶剂化壳，温度窗口拓宽 180%、能量密度提升&gt;30%；有机添加剂改变 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 xml:space="preserve">Fe(CN)₆] 电位）、离子效应增溶（混合酸提高钒浓度；NH₄⁺/Li⁺ 反离子；混合 Na⁺/K⁺；铵盐 AQDS 1.9 m）、AI-ML 加速筛选（R0, p.12–13）。无机——配体工程（Fe 中心电位从近 OER 到近 HER 连续可调：Fe-dcbpy/CN → 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 xml:space="preserve">Fe(CN)₆] → Fe-EDTA → Fe-TEA/Fe-TiPA）、同构物与掺杂（PBA 中 Fe²⁺ 换 VO²⁺ 使与钒阴极液的 RT 反应利用率从 10% 升至&gt;60%；Mn 掺杂 LFP 即 LiFexMn₁₋xPO₄ 与中性 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Fe(CN)₆]³⁻/⁴⁻ 匹配作容量提升体，电解液容量密度&gt;110 Ah L⁻¹）（R0, p.2, p.13）。有机——先选氧化还原中心（羰基/醌、含氮杂环、硫/磷体系），再以推电子（烷氧基、氨基）或拉电子（磺酸根、腈、氟代芳基、卤素）取代基逐步调节电位（十至数百 mV 步进）；多位点（二聚/齐聚使电子存储翻倍、三倍）；"溶解度开关"——亲水离子基（-SO₃⁻、-COO⁻、季铵）得可溶 RM，换疏水链/可聚合基团则同一骨架变成固态容量提升体；位阻保护与网络化保障长期稳定性；绿色合成（一锅缩合、电合成、温和催化）（R0, p.13–14）。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（六）展望（p.14）</w:t>
      </w:r>
      <w:r>
        <w:rPr>
          <w:rFonts w:ascii="Times New Roman" w:hAnsi="Times New Roman" w:eastAsia="宋体"/>
          <w:b w:val="0"/>
          <w:sz w:val="24"/>
        </w:rPr>
        <w:t>：四大优先方向——① 建立统一评估指标（固体利用率、反应深度、能效，标准化协议以跨系统比较）；② 发展原位/operando 表征（同步辐射成像与光谱）；③ ML+多尺度建模加速材料发现；④ 与可再生能源/工业过程集成。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4. 技术难点识别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电位精确对齐</w:t>
      </w:r>
      <w:r>
        <w:rPr>
          <w:rFonts w:ascii="Times New Roman" w:hAnsi="Times New Roman" w:eastAsia="宋体"/>
          <w:b w:val="0"/>
          <w:sz w:val="24"/>
        </w:rPr>
        <w:t>：SMRT 要求 RM 与固体电位几乎相等，实测中依赖 SOC 漂移驱动，精确匹配与双向可逆都很难（R0, p.2–3, p.7）。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两段动力学平衡诊断难</w:t>
      </w:r>
      <w:r>
        <w:rPr>
          <w:rFonts w:ascii="Times New Roman" w:hAnsi="Times New Roman" w:eastAsia="宋体"/>
          <w:b w:val="0"/>
          <w:sz w:val="24"/>
        </w:rPr>
        <w:t>：电极反应与罐内化学反应串联，瓶颈在哪一段缺乏通用判据，只能逐体系确定机理（R0, p.8–9）。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高周转数下的长期稳定性</w:t>
      </w:r>
      <w:r>
        <w:rPr>
          <w:rFonts w:ascii="Times New Roman" w:hAnsi="Times New Roman" w:eastAsia="宋体"/>
          <w:b w:val="0"/>
          <w:sz w:val="24"/>
        </w:rPr>
        <w:t>：RM 周转&gt;1，还原态二聚（蒽醌）、质子攻击等缓慢副反应在 RT-FB 的 SOC 约束下更难规避（R0, p.9–10）。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利用率"假高"</w:t>
      </w:r>
      <w:r>
        <w:rPr>
          <w:rFonts w:ascii="Times New Roman" w:hAnsi="Times New Roman" w:eastAsia="宋体"/>
          <w:b w:val="0"/>
          <w:sz w:val="24"/>
        </w:rPr>
        <w:t>：低电流密度 + 面积电流密度口径会系统性高估材料性能（R0, p.11）。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交叉与真实衰减解耦</w:t>
      </w:r>
      <w:r>
        <w:rPr>
          <w:rFonts w:ascii="Times New Roman" w:hAnsi="Times New Roman" w:eastAsia="宋体"/>
          <w:b w:val="0"/>
          <w:sz w:val="24"/>
        </w:rPr>
        <w:t>：膜交叉/污染若不量化，容量衰减归因不可靠（R0, p.10–11）。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6. </w:t>
      </w:r>
      <w:r>
        <w:rPr>
          <w:rFonts w:ascii="Times New Roman" w:hAnsi="Times New Roman" w:eastAsia="宋体"/>
          <w:b/>
          <w:sz w:val="24"/>
        </w:rPr>
        <w:t>高浓度-粘度-功率权衡</w:t>
      </w:r>
      <w:r>
        <w:rPr>
          <w:rFonts w:ascii="Times New Roman" w:hAnsi="Times New Roman" w:eastAsia="宋体"/>
          <w:b w:val="0"/>
          <w:sz w:val="24"/>
        </w:rPr>
        <w:t>：提高等效电子浓度常伴粘度上升、泵损增加（R0, p.9）。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5. 可借鉴点（实验设计直接可用）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表征矩阵照搬</w:t>
      </w:r>
      <w:r>
        <w:rPr>
          <w:rFonts w:ascii="Times New Roman" w:hAnsi="Times New Roman" w:eastAsia="宋体"/>
          <w:b w:val="0"/>
          <w:sz w:val="24"/>
        </w:rPr>
        <w:t>：CV 多扫速（判定表面/扩散控制、Randles–Ševčík 求 D）+ DPV（复杂电解液定电位）+ EIS（分解动力学）+ GITT（近工况扩散系数）（R0, p.10）。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稳定性测试协议</w:t>
      </w:r>
      <w:r>
        <w:rPr>
          <w:rFonts w:ascii="Times New Roman" w:hAnsi="Times New Roman" w:eastAsia="宋体"/>
          <w:b w:val="0"/>
          <w:sz w:val="24"/>
        </w:rPr>
        <w:t>：长期 CC/CCCV 循环，容量保留同时报 %/cycle 与 %/day；循环后做 HPLC/NMR（电解液）与 XRD/SEM（固体）定位降解路径（R0, p.11）。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利用率口径</w:t>
      </w:r>
      <w:r>
        <w:rPr>
          <w:rFonts w:ascii="Times New Roman" w:hAnsi="Times New Roman" w:eastAsia="宋体"/>
          <w:b w:val="0"/>
          <w:sz w:val="24"/>
        </w:rPr>
        <w:t>：评估固体/介体材料时用比电流（C-rate 或 A/g）并报告反应深度/利用率，横向对比必须统一口径（R0, p.11）。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膜交叉预实验</w:t>
      </w:r>
      <w:r>
        <w:rPr>
          <w:rFonts w:ascii="Times New Roman" w:hAnsi="Times New Roman" w:eastAsia="宋体"/>
          <w:b w:val="0"/>
          <w:sz w:val="24"/>
        </w:rPr>
        <w:t>：扩散池测渗透率与 ASR，用于解释表观容量衰减（R0, p.10–11）。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动力学测定</w:t>
      </w:r>
      <w:r>
        <w:rPr>
          <w:rFonts w:ascii="Times New Roman" w:hAnsi="Times New Roman" w:eastAsia="宋体"/>
          <w:b w:val="0"/>
          <w:sz w:val="24"/>
        </w:rPr>
        <w:t>：双电层实验或 RDE+OCP、UV-vis 定量 RM 浓度与 SOC 求 RT 反应速率——毕设 UV-vis 数据可直接复用（R0, p.11–12）。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6. </w:t>
      </w:r>
      <w:r>
        <w:rPr>
          <w:rFonts w:ascii="Times New Roman" w:hAnsi="Times New Roman" w:eastAsia="宋体"/>
          <w:b/>
          <w:sz w:val="24"/>
        </w:rPr>
        <w:t>选材规则</w:t>
      </w:r>
      <w:r>
        <w:rPr>
          <w:rFonts w:ascii="Times New Roman" w:hAnsi="Times New Roman" w:eastAsia="宋体"/>
          <w:b w:val="0"/>
          <w:sz w:val="24"/>
        </w:rPr>
        <w:t>：优先多电子分子、亲水离子基增溶、位阻/π 共轭稳定；用反离子（NH₄⁺/Na⁺/K⁺）筛选溶解度；对照 Pourbaix 图设计 pH 条件（R0, p.9, p.12–14）。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6. 延伸思考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 w:val="0"/>
          <w:sz w:val="24"/>
        </w:rPr>
        <w:t>课题52 若涉及有机体系，"溶解度开关"提示同一分子骨架可同时作可溶介体与固态容量提升体，可作为一个对比维度（R2）。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 w:val="0"/>
          <w:sz w:val="24"/>
        </w:rPr>
        <w:t>毕设测定的 CE/VE/EE 属于"常规液流系统"指标；若未来延伸至 RT-FB 思路，需额外引入固体利用率与反应深度指标（R2）。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 w:val="0"/>
          <w:sz w:val="24"/>
        </w:rPr>
        <w:t>电位- pH 关系（Pourbaix 斜率）可作为毕设"不同电解液条件"对比的理论主线：斜率差决定 ΔE 方向与大小（R0, p.7, p.12）。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 w:val="0"/>
          <w:sz w:val="24"/>
        </w:rPr>
        <w:t>ML/DFT 预筛是导师组明确推荐的未来方向（R0, p.13–14），毕设开题文献综述可提及，实操不必强求。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 w:val="0"/>
          <w:sz w:val="24"/>
        </w:rPr>
        <w:t>本文与 ChemRev 2020 互为表里：前者给"设计语言"，后者给"寿命测量方法学"；两篇配合已覆盖课题52 的选材与评估两个核心环节（R2）。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报告完 · 证据优先（R0/R1/R2 分级）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