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  <w:r>
        <w:rPr>
          <w:rFonts w:ascii="宋体" w:hAnsi="宋体" w:eastAsia="宋体"/>
          <w:b/>
          <w:sz w:val="44"/>
        </w:rPr>
        <w:t>9.24 组会答疑手册 —— PPT 配图、go / no-go、附表数据逐条</w:t>
      </w:r>
    </w:p>
    <w:p/>
    <w:p/>
    <w:p/>
    <w:p/>
    <w:p/>
    <w:p/>
    <w:p/>
    <w:p/>
    <w:p/>
    <w:p/>
    <w:p/>
    <w:p/>
    <w:p/>
    <w:p/>
    <w:p>
      <w:pPr>
        <w:jc w:val="center"/>
      </w:pPr>
      <w:r>
        <w:rPr>
          <w:rFonts w:ascii="宋体" w:hAnsi="宋体" w:eastAsia="宋体"/>
          <w:sz w:val="24"/>
        </w:rPr>
        <w:t>编制日期：2026年09月22日</w:t>
      </w:r>
    </w:p>
    <w:p/>
    <w:p>
      <w:r>
        <w:br w:type="page"/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配套文件：</w:t>
      </w:r>
      <w:r>
        <w:rPr>
          <w:rFonts w:ascii="Consolas" w:hAnsi="Consolas" w:eastAsia="Consolas"/>
          <w:sz w:val="24"/>
          <w:shd w:fill="F0F0F0"/>
        </w:rPr>
        <w:t>9.24-pre-最终版.pptx</w:t>
      </w:r>
      <w:r>
        <w:rPr>
          <w:rFonts w:ascii="Times New Roman" w:hAnsi="Times New Roman" w:eastAsia="宋体"/>
          <w:b w:val="0"/>
          <w:sz w:val="24"/>
        </w:rPr>
        <w:t xml:space="preserve">（= 你手改的 </w:t>
      </w:r>
      <w:r>
        <w:rPr>
          <w:rFonts w:ascii="Consolas" w:hAnsi="Consolas" w:eastAsia="Consolas"/>
          <w:sz w:val="24"/>
          <w:shd w:fill="F0F0F0"/>
        </w:rPr>
        <w:t>9.24-pre-中文对照版.pptx</w:t>
      </w:r>
      <w:r>
        <w:rPr>
          <w:rFonts w:ascii="Times New Roman" w:hAnsi="Times New Roman" w:eastAsia="宋体"/>
          <w:b w:val="0"/>
          <w:sz w:val="24"/>
        </w:rPr>
        <w:t xml:space="preserve"> + 6 张修正配图，文字与版式未动）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适用场合：2026-09-24（周四）16:30 组会，Prof. Xue Junmin + 禹俊辰老师</w:t>
      </w:r>
    </w:p>
    <w:p/>
    <w:p>
      <w:pPr>
        <w:spacing w:before="120" w:after="120"/>
        <w:pBdr>
          <w:bottom w:val="single" w:sz="6" w:color="CCCCCC"/>
        </w:pBdr>
      </w:pPr>
    </w:p>
    <w:p/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0. 这份手册怎么用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三块内容，对着 PPT 的三个"最容易被追问"的位置：</w:t>
      </w:r>
    </w:p>
    <w:p/>
    <w:tbl>
      <w:tblPr>
        <w:tblStyle w:val="21"/>
        <w:tblW w:type="auto" w:w="0"/>
        <w:jc w:val="center"/>
        <w:tblLook w:firstColumn="1" w:firstRow="1" w:lastColumn="0" w:lastRow="0" w:noHBand="0" w:noVBand="1" w:val="04A0"/>
      </w:tblPr>
      <w:tblGrid>
        <w:gridCol w:w="2822"/>
        <w:gridCol w:w="2822"/>
        <w:gridCol w:w="2822"/>
      </w:tblGrid>
      <w:tr>
        <w:tc>
          <w:tcPr>
            <w:tcW w:type="dxa" w:w="3991"/>
            <w:shd w:fill="D9D9D9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位置</w:t>
            </w:r>
          </w:p>
        </w:tc>
        <w:tc>
          <w:tcPr>
            <w:tcW w:type="dxa" w:w="3440"/>
            <w:shd w:fill="D9D9D9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你被问到的概率</w:t>
            </w:r>
          </w:p>
        </w:tc>
        <w:tc>
          <w:tcPr>
            <w:tcW w:type="dxa" w:w="1032"/>
            <w:shd w:fill="D9D9D9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本手册章节</w:t>
            </w:r>
          </w:p>
        </w:tc>
      </w:tr>
      <w:tr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P5 两幅图（台阶图 + 火山图）</w:t>
            </w:r>
          </w:p>
        </w:tc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高（PI 会问"这个 0.37 是什么"）</w:t>
            </w:r>
          </w:p>
        </w:tc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§1、§2</w:t>
            </w:r>
          </w:p>
        </w:tc>
      </w:tr>
      <w:tr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P9 左图（MnO2 稳定窗口）+ go/no-go</w:t>
            </w:r>
          </w:p>
        </w:tc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最高（这是整个方案的风险命门）</w:t>
            </w:r>
          </w:p>
        </w:tc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§3、§4</w:t>
            </w:r>
          </w:p>
        </w:tc>
      </w:tr>
      <w:tr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P11 附表每一个数字</w:t>
            </w:r>
          </w:p>
        </w:tc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中（PI 会挑一个问来源）</w:t>
            </w:r>
          </w:p>
        </w:tc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§5</w:t>
            </w:r>
          </w:p>
        </w:tc>
      </w:tr>
    </w:tbl>
    <w:p/>
    <w:p/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一条总纪律写在最前面，也是附表最后一行那句话：</w:t>
      </w:r>
      <w:r>
        <w:rPr>
          <w:rFonts w:ascii="Times New Roman" w:hAnsi="Times New Roman" w:eastAsia="宋体"/>
          <w:b/>
          <w:sz w:val="24"/>
        </w:rPr>
        <w:t>附表上每一个数字都能追到五篇指定文献的某一页</w:t>
      </w:r>
      <w:r>
        <w:rPr>
          <w:rFonts w:ascii="Times New Roman" w:hAnsi="Times New Roman" w:eastAsia="宋体"/>
          <w:b w:val="0"/>
          <w:sz w:val="24"/>
        </w:rPr>
        <w:t>；凡是五篇里没有的数（S-number、ICP-MS 溶出速率），一律说"这是我们要自己测的"，不要顺口报一个数。</w:t>
      </w:r>
    </w:p>
    <w:p/>
    <w:p>
      <w:pPr>
        <w:spacing w:before="120" w:after="120"/>
        <w:pBdr>
          <w:bottom w:val="single" w:sz="6" w:color="CCCCCC"/>
        </w:pBdr>
      </w:pP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1. P5 左图：四步台阶图（标度关系为什么会卡住活性）</w:t>
      </w:r>
    </w:p>
    <w:p>
      <w:pPr>
        <w:pStyle w:val="4"/>
        <w:pageBreakBefore w:val="0"/>
      </w:pPr>
      <w:r>
        <w:rPr>
          <w:rFonts w:ascii="Times New Roman" w:hAnsi="Times New Roman" w:eastAsia="宋体"/>
          <w:b/>
          <w:sz w:val="32"/>
        </w:rPr>
        <w:t>1.1 图上画了什么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>横轴：析氧反应（OER）的四个连续步骤 step 1 → step 4；纵轴：每一步的吉布斯自由能变化 ΔG per step（eV）。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>每个 step 两组柱子：</w:t>
      </w:r>
      <w:r>
        <w:rPr>
          <w:rFonts w:ascii="Times New Roman" w:hAnsi="Times New Roman" w:eastAsia="宋体"/>
          <w:b/>
          <w:sz w:val="24"/>
        </w:rPr>
        <w:t>蓝色 = ideal catalyst（理想催化剂）</w:t>
      </w:r>
      <w:r>
        <w:rPr>
          <w:rFonts w:ascii="Times New Roman" w:hAnsi="Times New Roman" w:eastAsia="宋体"/>
          <w:b w:val="0"/>
          <w:sz w:val="24"/>
        </w:rPr>
        <w:t>，</w:t>
      </w:r>
      <w:r>
        <w:rPr>
          <w:rFonts w:ascii="Times New Roman" w:hAnsi="Times New Roman" w:eastAsia="宋体"/>
          <w:b/>
          <w:sz w:val="24"/>
        </w:rPr>
        <w:t>橙色 = AEM (scaling-limited)</w:t>
      </w:r>
      <w:r>
        <w:rPr>
          <w:rFonts w:ascii="Times New Roman" w:hAnsi="Times New Roman" w:eastAsia="宋体"/>
          <w:b w:val="0"/>
          <w:sz w:val="24"/>
        </w:rPr>
        <w:t>，即受标度关系限制的实际氧化物表面。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>灰色虚线 = 1.23 eV，热力学平衡值。</w:t>
      </w:r>
    </w:p>
    <w:p/>
    <w:p>
      <w:pPr>
        <w:pStyle w:val="4"/>
        <w:pageBreakBefore w:val="0"/>
      </w:pPr>
      <w:r>
        <w:rPr>
          <w:rFonts w:ascii="Times New Roman" w:hAnsi="Times New Roman" w:eastAsia="宋体"/>
          <w:b/>
          <w:sz w:val="32"/>
        </w:rPr>
        <w:t>1.2 逐项含义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① 为什么"理想"是 4 × 1.23 eV（合计 4.92 eV）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酸性 OER 是四电子过程：2 H2O → O2 + 4 H+ + 4 e-。把总能量平均分到四步，每步 1.23 eV，对应平衡电位 1.23 V vs RHE。</w:t>
      </w:r>
      <w:r>
        <w:rPr>
          <w:rFonts w:ascii="Times New Roman" w:hAnsi="Times New Roman" w:eastAsia="宋体"/>
          <w:b/>
          <w:sz w:val="24"/>
        </w:rPr>
        <w:t>如果四步真的等分，过电位就是 0</w:t>
      </w:r>
      <w:r>
        <w:rPr>
          <w:rFonts w:ascii="Times New Roman" w:hAnsi="Times New Roman" w:eastAsia="宋体"/>
          <w:b w:val="0"/>
          <w:sz w:val="24"/>
        </w:rPr>
        <w:t>。所以蓝色柱子是"不存在的完美催化剂"，它只是参照线。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② 为什么橙色是 0.86 / 1.23 / 1.60 / 1.23（示意值）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真实氧化物表面上，中间体 ∗OH 与 ∗OOH 的吸附能彼此线性相关（这就是 scaling relation）。锁死了两个中间体的差，四步就不可能等分：有的步骤太容易、有的步骤太难。图上给出的 0.86 / 1.23 / 1.60 / 1.23 是</w:t>
      </w:r>
      <w:r>
        <w:rPr>
          <w:rFonts w:ascii="Times New Roman" w:hAnsi="Times New Roman" w:eastAsia="宋体"/>
          <w:b/>
          <w:sz w:val="24"/>
        </w:rPr>
        <w:t>示意性的一组台阶</w:t>
      </w:r>
      <w:r>
        <w:rPr>
          <w:rFonts w:ascii="Times New Roman" w:hAnsi="Times New Roman" w:eastAsia="宋体"/>
          <w:b w:val="0"/>
          <w:sz w:val="24"/>
        </w:rPr>
        <w:t>（合计仍是 4.92 eV，没有凭空造能量），用意是让"最大台阶抬起来"这件事看得见。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③ 0.37 V 是怎么来的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 xml:space="preserve">最大台阶 = 1.60 eV，比热力学值多出 1.60 − 1.23 = </w:t>
      </w:r>
      <w:r>
        <w:rPr>
          <w:rFonts w:ascii="Times New Roman" w:hAnsi="Times New Roman" w:eastAsia="宋体"/>
          <w:b/>
          <w:sz w:val="24"/>
        </w:rPr>
        <w:t>0.37 eV</w:t>
      </w:r>
      <w:r>
        <w:rPr>
          <w:rFonts w:ascii="Times New Roman" w:hAnsi="Times New Roman" w:eastAsia="宋体"/>
          <w:b w:val="0"/>
          <w:sz w:val="24"/>
        </w:rPr>
        <w:t xml:space="preserve">，除以电子数（1 个电子）即为 </w:t>
      </w:r>
      <w:r>
        <w:rPr>
          <w:rFonts w:ascii="Times New Roman" w:hAnsi="Times New Roman" w:eastAsia="宋体"/>
          <w:b/>
          <w:sz w:val="24"/>
        </w:rPr>
        <w:t>0.37 V 的过电位</w:t>
      </w:r>
      <w:r>
        <w:rPr>
          <w:rFonts w:ascii="Times New Roman" w:hAnsi="Times New Roman" w:eastAsia="宋体"/>
          <w:b w:val="0"/>
          <w:sz w:val="24"/>
        </w:rPr>
        <w:t>。这就是 CSC-4 记的"标度关系把 AEM 型表面的火山顶压到 ≈ 0.37 V"（§3.2）。它的普适来源是 ΔG(∗OOH) − ΔG(∗OH) ≈ 3.2 eV：4.92 eV 里被这一步占掉 3.2 eV，剩下 1.72 eV 分给两步，各 0.86 eV，离 1.23 eV 差 0.37 eV。</w:t>
      </w:r>
      <w:r>
        <w:rPr>
          <w:rFonts w:ascii="Times New Roman" w:hAnsi="Times New Roman" w:eastAsia="宋体"/>
          <w:b/>
          <w:sz w:val="24"/>
        </w:rPr>
        <w:t>记住这句话就够了：0.37 V 不是某个材料的性能，而是"标度关系"本身设的下限。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④ 图上那句 "schematic" 不是免责，是诚实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图上没有实验数据点，所以标题里直接写了 schematic。被问"这组数是实测吗"，标准答法：</w:t>
      </w:r>
      <w:r>
        <w:rPr>
          <w:rFonts w:ascii="Times New Roman" w:hAnsi="Times New Roman" w:eastAsia="宋体"/>
          <w:b/>
          <w:sz w:val="24"/>
        </w:rPr>
        <w:t>"这是示意图，用来解释为什么台阶不均；唯一来自文献的数字是 0.37 V 这个上限，出自 CSC-4 §3.2（pp. 2203–2204）。"</w:t>
      </w:r>
    </w:p>
    <w:p/>
    <w:p>
      <w:pPr>
        <w:pStyle w:val="4"/>
        <w:pageBreakBefore w:val="0"/>
      </w:pPr>
      <w:r>
        <w:rPr>
          <w:rFonts w:ascii="Times New Roman" w:hAnsi="Times New Roman" w:eastAsia="宋体"/>
          <w:b/>
          <w:sz w:val="32"/>
        </w:rPr>
        <w:t>1.3 可能追问</w:t>
      </w:r>
    </w:p>
    <w:tbl>
      <w:tblPr>
        <w:tblStyle w:val="21"/>
        <w:tblW w:type="auto" w:w="0"/>
        <w:jc w:val="center"/>
        <w:tblLook w:firstColumn="1" w:firstRow="1" w:lastColumn="0" w:lastRow="0" w:noHBand="0" w:noVBand="1" w:val="04A0"/>
      </w:tblPr>
      <w:tblGrid>
        <w:gridCol w:w="4232"/>
        <w:gridCol w:w="4232"/>
      </w:tblGrid>
      <w:tr>
        <w:tc>
          <w:tcPr>
            <w:tcW w:type="dxa" w:w="2515"/>
            <w:shd w:fill="D9D9D9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追问</w:t>
            </w:r>
          </w:p>
        </w:tc>
        <w:tc>
          <w:tcPr>
            <w:tcW w:type="dxa" w:w="5948"/>
            <w:shd w:fill="D9D9D9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答</w:t>
            </w:r>
          </w:p>
        </w:tc>
      </w:tr>
      <w:tr>
        <w:tc>
          <w:tcPr>
            <w:tcW w:type="dxa" w:w="423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为什么画四步，不画两步？</w:t>
            </w:r>
          </w:p>
        </w:tc>
        <w:tc>
          <w:tcPr>
            <w:tcW w:type="dxa" w:w="423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酸性 OER 是 4 e- 过程，四步对应 ∗OH、∗O、∗OOH 三个中间体加最后 O2 脱附；这是 AEM 的标准写法。</w:t>
            </w:r>
          </w:p>
        </w:tc>
      </w:tr>
      <w:tr>
        <w:tc>
          <w:tcPr>
            <w:tcW w:type="dxa" w:w="423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0.37 V 是 mV 还是 V？</w:t>
            </w:r>
          </w:p>
        </w:tc>
        <w:tc>
          <w:tcPr>
            <w:tcW w:type="dxa" w:w="423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0.37 V = 370 mV，两种写法等价；PPT 上统一用 V，是为了和火山图对照。</w:t>
            </w:r>
          </w:p>
        </w:tc>
      </w:tr>
      <w:tr>
        <w:tc>
          <w:tcPr>
            <w:tcW w:type="dxa" w:w="423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既然有下限，我们的目标是不是就是把 0.37 V 打破？</w:t>
            </w:r>
          </w:p>
        </w:tc>
        <w:tc>
          <w:tcPr>
            <w:tcW w:type="dxa" w:w="423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不是。本项目的主目标是</w:t>
            </w:r>
            <w:r>
              <w:rPr>
                <w:rFonts w:ascii="Times New Roman" w:hAnsi="Times New Roman" w:eastAsia="宋体"/>
                <w:b/>
                <w:sz w:val="24"/>
              </w:rPr>
              <w:t>耐久性</w:t>
            </w:r>
            <w:r>
              <w:rPr>
                <w:rFonts w:ascii="Times New Roman" w:hAnsi="Times New Roman" w:eastAsia="宋体"/>
                <w:b w:val="0"/>
                <w:sz w:val="24"/>
              </w:rPr>
              <w:t>（低贵金属载量下的稳定性）。打破 0.37 V 的路径（质子受体）是用来"顺带"而不是"必须"。</w:t>
            </w:r>
          </w:p>
        </w:tc>
      </w:tr>
    </w:tbl>
    <w:p/>
    <w:p/>
    <w:p>
      <w:pPr>
        <w:spacing w:before="120" w:after="120"/>
        <w:pBdr>
          <w:bottom w:val="single" w:sz="6" w:color="CCCCCC"/>
        </w:pBdr>
      </w:pP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2. P5 右图：火山图 + 质子受体路线</w:t>
      </w:r>
    </w:p>
    <w:p>
      <w:pPr>
        <w:pStyle w:val="4"/>
        <w:pageBreakBefore w:val="0"/>
      </w:pPr>
      <w:r>
        <w:rPr>
          <w:rFonts w:ascii="Times New Roman" w:hAnsi="Times New Roman" w:eastAsia="宋体"/>
          <w:b/>
          <w:sz w:val="32"/>
        </w:rPr>
        <w:t>2.1 图的读法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>横轴：中间体/氧物种的</w:t>
      </w:r>
      <w:r>
        <w:rPr>
          <w:rFonts w:ascii="Times New Roman" w:hAnsi="Times New Roman" w:eastAsia="宋体"/>
          <w:b/>
          <w:sz w:val="24"/>
        </w:rPr>
        <w:t>吸附能</w:t>
      </w:r>
      <w:r>
        <w:rPr>
          <w:rFonts w:ascii="Times New Roman" w:hAnsi="Times New Roman" w:eastAsia="宋体"/>
          <w:b w:val="0"/>
          <w:sz w:val="24"/>
        </w:rPr>
        <w:t>——左端"too weak"（吸附太弱，中间体留不住），右端"too strong"（吸附太强，产物脱不掉）。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>纵轴：活性。曲线呈火山形：</w:t>
      </w:r>
      <w:r>
        <w:rPr>
          <w:rFonts w:ascii="Times New Roman" w:hAnsi="Times New Roman" w:eastAsia="宋体"/>
          <w:b/>
          <w:sz w:val="24"/>
        </w:rPr>
        <w:t>顶点 = 吸附能最优</w:t>
      </w:r>
      <w:r>
        <w:rPr>
          <w:rFonts w:ascii="Times New Roman" w:hAnsi="Times New Roman" w:eastAsia="宋体"/>
          <w:b w:val="0"/>
          <w:sz w:val="24"/>
        </w:rPr>
        <w:t>，也是活性上限所在。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>蓝色抛物线 = 火山曲线，橙色圆点 = 火山顶。</w:t>
      </w:r>
    </w:p>
    <w:p/>
    <w:p>
      <w:pPr>
        <w:pStyle w:val="4"/>
        <w:pageBreakBefore w:val="0"/>
      </w:pPr>
      <w:r>
        <w:rPr>
          <w:rFonts w:ascii="Times New Roman" w:hAnsi="Times New Roman" w:eastAsia="宋体"/>
          <w:b/>
          <w:sz w:val="32"/>
        </w:rPr>
        <w:t>2.2 我们真正要讲的三层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① 火山的高度由标度关系决定</w:t>
      </w:r>
      <w:r>
        <w:rPr>
          <w:rFonts w:ascii="Times New Roman" w:hAnsi="Times New Roman" w:eastAsia="宋体"/>
          <w:b w:val="0"/>
          <w:sz w:val="24"/>
        </w:rPr>
        <w:t>：顶点再高也高不过 §1 里那个 0.37 V 的极限。这就是"标度关系限制活性"的图形表达。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② 打破它的办法是换机理，不是换材料</w:t>
      </w:r>
      <w:r>
        <w:rPr>
          <w:rFonts w:ascii="Times New Roman" w:hAnsi="Times New Roman" w:eastAsia="宋体"/>
          <w:b w:val="0"/>
          <w:sz w:val="24"/>
        </w:rPr>
        <w:t>：如果让一个</w:t>
      </w:r>
      <w:r>
        <w:rPr>
          <w:rFonts w:ascii="Times New Roman" w:hAnsi="Times New Roman" w:eastAsia="宋体"/>
          <w:b/>
          <w:sz w:val="24"/>
        </w:rPr>
        <w:t>质子受体</w:t>
      </w:r>
      <w:r>
        <w:rPr>
          <w:rFonts w:ascii="Times New Roman" w:hAnsi="Times New Roman" w:eastAsia="宋体"/>
          <w:b w:val="0"/>
          <w:sz w:val="24"/>
        </w:rPr>
        <w:t xml:space="preserve">（proton acceptor）参与，让桥氧被活化，反应可以不经过 ∗OOH 那条被锁死的路。图上标注：Ni/Co 掺入 RuO2 → 活化桥氧 → 决速步从被锁死的值降到 </w:t>
      </w:r>
      <w:r>
        <w:rPr>
          <w:rFonts w:ascii="Times New Roman" w:hAnsi="Times New Roman" w:eastAsia="宋体"/>
          <w:b/>
          <w:sz w:val="24"/>
        </w:rPr>
        <w:t>1.49 / 1.33 eV → 对应过电位 0.26 / 0.10 V</w:t>
      </w:r>
      <w:r>
        <w:rPr>
          <w:rFonts w:ascii="Times New Roman" w:hAnsi="Times New Roman" w:eastAsia="宋体"/>
          <w:b w:val="0"/>
          <w:sz w:val="24"/>
        </w:rPr>
        <w:t>，也就是"below the 0.37 V volcano limit"（CSC-4 §3.2，pp. 2203–2204）。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③ 这条路线怎么映射到我们的材料</w:t>
      </w:r>
      <w:r>
        <w:rPr>
          <w:rFonts w:ascii="Times New Roman" w:hAnsi="Times New Roman" w:eastAsia="宋体"/>
          <w:b w:val="0"/>
          <w:sz w:val="24"/>
        </w:rPr>
        <w:t xml:space="preserve">：CSC-4 §2.2（p. 2200）指出 </w:t>
      </w:r>
      <w:r>
        <w:rPr>
          <w:rFonts w:ascii="Times New Roman" w:hAnsi="Times New Roman" w:eastAsia="宋体"/>
          <w:b/>
          <w:sz w:val="24"/>
        </w:rPr>
        <w:t>Mn3+ 的 eg 占据数正好是 1（eg = 1）</w:t>
      </w:r>
      <w:r>
        <w:rPr>
          <w:rFonts w:ascii="Times New Roman" w:hAnsi="Times New Roman" w:eastAsia="宋体"/>
          <w:b w:val="0"/>
          <w:sz w:val="24"/>
        </w:rPr>
        <w:t>，是氧化物 OER 活性的最优电子构型。于是我们的设计逻辑是：</w:t>
      </w:r>
      <w:r>
        <w:rPr>
          <w:rFonts w:ascii="Times New Roman" w:hAnsi="Times New Roman" w:eastAsia="宋体"/>
          <w:b/>
          <w:sz w:val="24"/>
        </w:rPr>
        <w:t>让 Mn 扮演质子受体/电荷缓冲的角色，而不是让 Mn 当主角去催化</w:t>
      </w:r>
      <w:r>
        <w:rPr>
          <w:rFonts w:ascii="Times New Roman" w:hAnsi="Times New Roman" w:eastAsia="宋体"/>
          <w:b w:val="0"/>
          <w:sz w:val="24"/>
        </w:rPr>
        <w:t>。这句话是本项目最核心的设计主张，务必背下来。</w:t>
      </w:r>
    </w:p>
    <w:p/>
    <w:p>
      <w:pPr>
        <w:pStyle w:val="4"/>
        <w:pageBreakBefore w:val="0"/>
      </w:pPr>
      <w:r>
        <w:rPr>
          <w:rFonts w:ascii="Times New Roman" w:hAnsi="Times New Roman" w:eastAsia="宋体"/>
          <w:b/>
          <w:sz w:val="32"/>
        </w:rPr>
        <w:t>2.3 可能追问</w:t>
      </w:r>
    </w:p>
    <w:tbl>
      <w:tblPr>
        <w:tblStyle w:val="21"/>
        <w:tblW w:type="auto" w:w="0"/>
        <w:jc w:val="center"/>
        <w:tblLook w:firstColumn="1" w:firstRow="1" w:lastColumn="0" w:lastRow="0" w:noHBand="0" w:noVBand="1" w:val="04A0"/>
      </w:tblPr>
      <w:tblGrid>
        <w:gridCol w:w="4232"/>
        <w:gridCol w:w="4232"/>
      </w:tblGrid>
      <w:tr>
        <w:tc>
          <w:tcPr>
            <w:tcW w:type="dxa" w:w="2096"/>
            <w:shd w:fill="D9D9D9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追问</w:t>
            </w:r>
          </w:p>
        </w:tc>
        <w:tc>
          <w:tcPr>
            <w:tcW w:type="dxa" w:w="6367"/>
            <w:shd w:fill="D9D9D9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答</w:t>
            </w:r>
          </w:p>
        </w:tc>
      </w:tr>
      <w:tr>
        <w:tc>
          <w:tcPr>
            <w:tcW w:type="dxa" w:w="423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0.26 / 0.10 V 是实验还是计算？</w:t>
            </w:r>
          </w:p>
        </w:tc>
        <w:tc>
          <w:tcPr>
            <w:tcW w:type="dxa" w:w="423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论文里的理论/计算层面的过电位，用于说明机理可以突破标度上限；不是我们测到的。</w:t>
            </w:r>
          </w:p>
        </w:tc>
      </w:tr>
      <w:tr>
        <w:tc>
          <w:tcPr>
            <w:tcW w:type="dxa" w:w="423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Ni/Co 的做法，Mn 能照抄吗？</w:t>
            </w:r>
          </w:p>
        </w:tc>
        <w:tc>
          <w:tcPr>
            <w:tcW w:type="dxa" w:w="423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不能直接照抄，但机理类型可迁移——这也是为什么 §3 要先测 Mn 自己的电位窗口。</w:t>
            </w:r>
          </w:p>
        </w:tc>
      </w:tr>
      <w:tr>
        <w:tc>
          <w:tcPr>
            <w:tcW w:type="dxa" w:w="423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火山顶点处的"最优吸附能"到底是多少？</w:t>
            </w:r>
          </w:p>
        </w:tc>
        <w:tc>
          <w:tcPr>
            <w:tcW w:type="dxa" w:w="423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论文没有给一个绝对数值；火山图的横轴是相对位置，不是绝对能量。被问到就答"横轴为相对量，图的意义在形状不在数值"。</w:t>
            </w:r>
          </w:p>
        </w:tc>
      </w:tr>
    </w:tbl>
    <w:p/>
    <w:p/>
    <w:p>
      <w:pPr>
        <w:spacing w:before="120" w:after="120"/>
        <w:pBdr>
          <w:bottom w:val="single" w:sz="6" w:color="CCCCCC"/>
        </w:pBdr>
      </w:pP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3. P9 左图：MnO2 在酸性中的稳定窗口（示意）</w:t>
      </w:r>
    </w:p>
    <w:p>
      <w:pPr>
        <w:pStyle w:val="4"/>
        <w:pageBreakBefore w:val="0"/>
      </w:pPr>
      <w:r>
        <w:rPr>
          <w:rFonts w:ascii="Times New Roman" w:hAnsi="Times New Roman" w:eastAsia="宋体"/>
          <w:b/>
          <w:sz w:val="32"/>
        </w:rPr>
        <w:t>3.1 图的结构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横轴为电位（V vs SHE），把电位切成三段（</w:t>
      </w:r>
      <w:r>
        <w:rPr>
          <w:rFonts w:ascii="Times New Roman" w:hAnsi="Times New Roman" w:eastAsia="宋体"/>
          <w:b/>
          <w:sz w:val="24"/>
        </w:rPr>
        <w:t>示意切片，不是精确 Pourbaix 图</w:t>
      </w:r>
      <w:r>
        <w:rPr>
          <w:rFonts w:ascii="Times New Roman" w:hAnsi="Times New Roman" w:eastAsia="宋体"/>
          <w:b w:val="0"/>
          <w:sz w:val="24"/>
        </w:rPr>
        <w:t>）：</w:t>
      </w:r>
    </w:p>
    <w:p/>
    <w:tbl>
      <w:tblPr>
        <w:tblStyle w:val="21"/>
        <w:tblW w:type="auto" w:w="0"/>
        <w:jc w:val="center"/>
        <w:tblLook w:firstColumn="1" w:firstRow="1" w:lastColumn="0" w:lastRow="0" w:noHBand="0" w:noVBand="1" w:val="04A0"/>
      </w:tblPr>
      <w:tblGrid>
        <w:gridCol w:w="2822"/>
        <w:gridCol w:w="2822"/>
        <w:gridCol w:w="2822"/>
      </w:tblGrid>
      <w:tr>
        <w:tc>
          <w:tcPr>
            <w:tcW w:type="dxa" w:w="3099"/>
            <w:shd w:fill="D9D9D9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区间</w:t>
            </w:r>
          </w:p>
        </w:tc>
        <w:tc>
          <w:tcPr>
            <w:tcW w:type="dxa" w:w="3099"/>
            <w:shd w:fill="D9D9D9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物种</w:t>
            </w:r>
          </w:p>
        </w:tc>
        <w:tc>
          <w:tcPr>
            <w:tcW w:type="dxa" w:w="2265"/>
            <w:shd w:fill="D9D9D9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状态</w:t>
            </w:r>
          </w:p>
        </w:tc>
      </w:tr>
      <w:tr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&lt; ≈ 1.4 V</w:t>
            </w:r>
          </w:p>
        </w:tc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Mn2+</w:t>
            </w:r>
          </w:p>
        </w:tc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溶解</w:t>
            </w:r>
          </w:p>
        </w:tc>
      </w:tr>
      <w:tr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≈ 1.4 – 1.6 V</w:t>
            </w:r>
          </w:p>
        </w:tc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MnO2</w:t>
            </w:r>
          </w:p>
        </w:tc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稳定（绿色区）</w:t>
            </w:r>
          </w:p>
        </w:tc>
      </w:tr>
      <w:tr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&gt; ≈ 1.6 V</w:t>
            </w:r>
          </w:p>
        </w:tc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MnO4-（高锰酸根）</w:t>
            </w:r>
          </w:p>
        </w:tc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溶解（橙色区）</w:t>
            </w:r>
          </w:p>
        </w:tc>
      </w:tr>
    </w:tbl>
    <w:p/>
    <w:p/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图上虚线框 "OER operation window" 从 1.23 V 起：</w:t>
      </w:r>
      <w:r>
        <w:rPr>
          <w:rFonts w:ascii="Times New Roman" w:hAnsi="Times New Roman" w:eastAsia="宋体"/>
          <w:b/>
          <w:sz w:val="24"/>
        </w:rPr>
        <w:t>因为析氧在热力学上要求电位高于 1.23 V</w:t>
      </w:r>
      <w:r>
        <w:rPr>
          <w:rFonts w:ascii="Times New Roman" w:hAnsi="Times New Roman" w:eastAsia="宋体"/>
          <w:b w:val="0"/>
          <w:sz w:val="24"/>
        </w:rPr>
        <w:t>。绿色稳定区与 OER 窗口的</w:t>
      </w:r>
      <w:r>
        <w:rPr>
          <w:rFonts w:ascii="Times New Roman" w:hAnsi="Times New Roman" w:eastAsia="宋体"/>
          <w:b/>
          <w:sz w:val="24"/>
        </w:rPr>
        <w:t>重叠只有大约 1.4–1.6 V 这段（≈ 0.2 V 宽）</w:t>
      </w:r>
      <w:r>
        <w:rPr>
          <w:rFonts w:ascii="Times New Roman" w:hAnsi="Times New Roman" w:eastAsia="宋体"/>
          <w:b w:val="0"/>
          <w:sz w:val="24"/>
        </w:rPr>
        <w:t>——这就是"窄"的具体含义。</w:t>
      </w:r>
    </w:p>
    <w:p/>
    <w:p>
      <w:pPr>
        <w:pStyle w:val="4"/>
        <w:pageBreakBefore w:val="0"/>
      </w:pPr>
      <w:r>
        <w:rPr>
          <w:rFonts w:ascii="Times New Roman" w:hAnsi="Times New Roman" w:eastAsia="宋体"/>
          <w:b/>
          <w:sz w:val="32"/>
        </w:rPr>
        <w:t>3.2 为什么要画它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CSC-4 §4.4（p. 2208）在讨论锰基酸性 OER 时写得很直接：</w:t>
      </w:r>
      <w:r>
        <w:rPr>
          <w:rFonts w:ascii="Times New Roman" w:hAnsi="Times New Roman" w:eastAsia="宋体"/>
          <w:b/>
          <w:sz w:val="24"/>
        </w:rPr>
        <w:t>"a suitable potential window must be identified"</w:t>
      </w:r>
      <w:r>
        <w:rPr>
          <w:rFonts w:ascii="Times New Roman" w:hAnsi="Times New Roman" w:eastAsia="宋体"/>
          <w:b w:val="0"/>
          <w:sz w:val="24"/>
        </w:rPr>
        <w:t xml:space="preserve">（必须先把合适的电位窗口找出来）。同时该页也记载 </w:t>
      </w:r>
      <w:r>
        <w:rPr>
          <w:rFonts w:ascii="Times New Roman" w:hAnsi="Times New Roman" w:eastAsia="宋体"/>
          <w:b/>
          <w:sz w:val="24"/>
        </w:rPr>
        <w:t>γ-MnO2 在 pH 2 下被报道可运行 8000 h</w:t>
      </w:r>
      <w:r>
        <w:rPr>
          <w:rFonts w:ascii="Times New Roman" w:hAnsi="Times New Roman" w:eastAsia="宋体"/>
          <w:b w:val="0"/>
          <w:sz w:val="24"/>
        </w:rPr>
        <w:t>（附表第一条）——注意这两句并不矛盾：</w:t>
      </w:r>
      <w:r>
        <w:rPr>
          <w:rFonts w:ascii="Times New Roman" w:hAnsi="Times New Roman" w:eastAsia="宋体"/>
          <w:b/>
          <w:sz w:val="24"/>
        </w:rPr>
        <w:t>8000 h 是在某个特定电位下取得的，那个电位是多少、能不能外推到我们要用的电位区间，正是我们要测的东西。</w:t>
      </w:r>
    </w:p>
    <w:p/>
    <w:p>
      <w:pPr>
        <w:pStyle w:val="4"/>
        <w:pageBreakBefore w:val="0"/>
      </w:pPr>
      <w:r>
        <w:rPr>
          <w:rFonts w:ascii="Times New Roman" w:hAnsi="Times New Roman" w:eastAsia="宋体"/>
          <w:b/>
          <w:sz w:val="32"/>
        </w:rPr>
        <w:t>3.3 三个必须主动交代的边界（防止被追问时站不住）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1. </w:t>
      </w:r>
      <w:r>
        <w:rPr>
          <w:rFonts w:ascii="Times New Roman" w:hAnsi="Times New Roman" w:eastAsia="宋体"/>
          <w:b/>
          <w:sz w:val="24"/>
        </w:rPr>
        <w:t>这是示意切片</w:t>
      </w:r>
      <w:r>
        <w:rPr>
          <w:rFonts w:ascii="Times New Roman" w:hAnsi="Times New Roman" w:eastAsia="宋体"/>
          <w:b w:val="0"/>
          <w:sz w:val="24"/>
        </w:rPr>
        <w:t>。真实边界随 pH、Mn 浓度、温度移动（Pourbaix 图是三维信息投到二维）；所以图上标了 schematic，且第一件事就是实测，而不是相信这张图。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2. </w:t>
      </w:r>
      <w:r>
        <w:rPr>
          <w:rFonts w:ascii="Times New Roman" w:hAnsi="Times New Roman" w:eastAsia="宋体"/>
          <w:b/>
          <w:sz w:val="24"/>
        </w:rPr>
        <w:t>"稳定"是热力学说法</w:t>
      </w:r>
      <w:r>
        <w:rPr>
          <w:rFonts w:ascii="Times New Roman" w:hAnsi="Times New Roman" w:eastAsia="宋体"/>
          <w:b w:val="0"/>
          <w:sz w:val="24"/>
        </w:rPr>
        <w:t>。热力学稳定 ≠ 动力学上不溶解；OER 过程中的动态重构、局部过电位都会改变实际行为。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3. </w:t>
      </w:r>
      <w:r>
        <w:rPr>
          <w:rFonts w:ascii="Times New Roman" w:hAnsi="Times New Roman" w:eastAsia="宋体"/>
          <w:b/>
          <w:sz w:val="24"/>
        </w:rPr>
        <w:t>局部环境可能比本体更苛刻</w:t>
      </w:r>
      <w:r>
        <w:rPr>
          <w:rFonts w:ascii="Times New Roman" w:hAnsi="Times New Roman" w:eastAsia="宋体"/>
          <w:b w:val="0"/>
          <w:sz w:val="24"/>
        </w:rPr>
        <w:t>。酸性 OER 在阳极持续产生 H+，电极附近的局部 pH 会低于本体——这与 NE-2 的发现（局部 pH 可以远高于本体）方向相反，但</w:t>
      </w:r>
      <w:r>
        <w:rPr>
          <w:rFonts w:ascii="Times New Roman" w:hAnsi="Times New Roman" w:eastAsia="宋体"/>
          <w:b/>
          <w:sz w:val="24"/>
        </w:rPr>
        <w:t>教训相同：局部 ≠ 本体，必须实测</w:t>
      </w:r>
      <w:r>
        <w:rPr>
          <w:rFonts w:ascii="Times New Roman" w:hAnsi="Times New Roman" w:eastAsia="宋体"/>
          <w:b w:val="0"/>
          <w:sz w:val="24"/>
        </w:rPr>
        <w:t>。这一句如果讲出来，是加分项。</w:t>
      </w:r>
    </w:p>
    <w:p/>
    <w:p>
      <w:pPr>
        <w:pStyle w:val="4"/>
        <w:pageBreakBefore w:val="0"/>
      </w:pPr>
      <w:r>
        <w:rPr>
          <w:rFonts w:ascii="Times New Roman" w:hAnsi="Times New Roman" w:eastAsia="宋体"/>
          <w:b/>
          <w:sz w:val="32"/>
        </w:rPr>
        <w:t>3.4 可能追问</w:t>
      </w:r>
    </w:p>
    <w:tbl>
      <w:tblPr>
        <w:tblStyle w:val="21"/>
        <w:tblW w:type="auto" w:w="0"/>
        <w:jc w:val="center"/>
        <w:tblLook w:firstColumn="1" w:firstRow="1" w:lastColumn="0" w:lastRow="0" w:noHBand="0" w:noVBand="1" w:val="04A0"/>
      </w:tblPr>
      <w:tblGrid>
        <w:gridCol w:w="4232"/>
        <w:gridCol w:w="4232"/>
      </w:tblGrid>
      <w:tr>
        <w:tc>
          <w:tcPr>
            <w:tcW w:type="dxa" w:w="1737"/>
            <w:shd w:fill="D9D9D9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追问</w:t>
            </w:r>
          </w:p>
        </w:tc>
        <w:tc>
          <w:tcPr>
            <w:tcW w:type="dxa" w:w="6726"/>
            <w:shd w:fill="D9D9D9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答</w:t>
            </w:r>
          </w:p>
        </w:tc>
      </w:tr>
      <w:tr>
        <w:tc>
          <w:tcPr>
            <w:tcW w:type="dxa" w:w="423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1.4 / 1.6 这两个数是哪来的？</w:t>
            </w:r>
          </w:p>
        </w:tc>
        <w:tc>
          <w:tcPr>
            <w:tcW w:type="dxa" w:w="423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锰的 Pourbaix 热力学边界，CSC-4 §4.4（p. 2208）在讨论酸性稳定性时引用；图上明确标注为示意。</w:t>
            </w:r>
          </w:p>
        </w:tc>
      </w:tr>
      <w:tr>
        <w:tc>
          <w:tcPr>
            <w:tcW w:type="dxa" w:w="423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如果 MnO2 只在这么窄的窗口稳定，为什么还选它？</w:t>
            </w:r>
          </w:p>
        </w:tc>
        <w:tc>
          <w:tcPr>
            <w:tcW w:type="dxa" w:w="423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因为 (a) 有 8000 h @ pH 2 的报道先例，(b) Mn3+ 的 eg = 1 提供设计依据，(c) 我们的用法是把 Ru 放进 MnO2 骨架让两者共享氧，而不是把 MnO2 当纯涂层（见 P8 Route B）。</w:t>
            </w:r>
          </w:p>
        </w:tc>
      </w:tr>
      <w:tr>
        <w:tc>
          <w:tcPr>
            <w:tcW w:type="dxa" w:w="423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那 Ru 自己的稳定窗口呢？</w:t>
            </w:r>
          </w:p>
        </w:tc>
        <w:tc>
          <w:tcPr>
            <w:tcW w:type="dxa" w:w="423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Ru 的问题不是电位窗口而是过氧化到可溶 RuO4 + 晶格氧参与（P4），所以我们的判据是"溶解速率"，而不是"窗口"。</w:t>
            </w:r>
          </w:p>
        </w:tc>
      </w:tr>
    </w:tbl>
    <w:p/>
    <w:p/>
    <w:p>
      <w:pPr>
        <w:spacing w:before="120" w:after="120"/>
        <w:pBdr>
          <w:bottom w:val="single" w:sz="6" w:color="CCCCCC"/>
        </w:pBdr>
      </w:pP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4. P9 右图：go / no-go 到底指什么</w:t>
      </w:r>
    </w:p>
    <w:p>
      <w:pPr>
        <w:pStyle w:val="4"/>
        <w:pageBreakBefore w:val="0"/>
      </w:pPr>
      <w:r>
        <w:rPr>
          <w:rFonts w:ascii="Times New Roman" w:hAnsi="Times New Roman" w:eastAsia="宋体"/>
          <w:b/>
          <w:sz w:val="32"/>
        </w:rPr>
        <w:t>4.1 定义（先说清这是什么东西）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go / no-go 是一个二值决策门</w:t>
      </w:r>
      <w:r>
        <w:rPr>
          <w:rFonts w:ascii="Times New Roman" w:hAnsi="Times New Roman" w:eastAsia="宋体"/>
          <w:b w:val="0"/>
          <w:sz w:val="24"/>
        </w:rPr>
        <w:t>：在预定的时间点、用预定的一套测量，回答"要不要继续按现在这条路线走"。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它不是"先做点实验看看"，也不是"三周后汇报进度"；它要求在</w:t>
      </w:r>
      <w:r>
        <w:rPr>
          <w:rFonts w:ascii="Times New Roman" w:hAnsi="Times New Roman" w:eastAsia="宋体"/>
          <w:b/>
          <w:sz w:val="24"/>
        </w:rPr>
        <w:t>实验开始之前</w:t>
      </w:r>
      <w:r>
        <w:rPr>
          <w:rFonts w:ascii="Times New Roman" w:hAnsi="Times New Roman" w:eastAsia="宋体"/>
          <w:b w:val="0"/>
          <w:sz w:val="24"/>
        </w:rPr>
        <w:t>就把</w:t>
      </w:r>
      <w:r>
        <w:rPr>
          <w:rFonts w:ascii="Times New Roman" w:hAnsi="Times New Roman" w:eastAsia="宋体"/>
          <w:b/>
          <w:sz w:val="24"/>
        </w:rPr>
        <w:t>判据</w:t>
      </w:r>
      <w:r>
        <w:rPr>
          <w:rFonts w:ascii="Times New Roman" w:hAnsi="Times New Roman" w:eastAsia="宋体"/>
          <w:b w:val="0"/>
          <w:sz w:val="24"/>
        </w:rPr>
        <w:t>和</w:t>
      </w:r>
      <w:r>
        <w:rPr>
          <w:rFonts w:ascii="Times New Roman" w:hAnsi="Times New Roman" w:eastAsia="宋体"/>
          <w:b/>
          <w:sz w:val="24"/>
        </w:rPr>
        <w:t>两条分支各自的下一步</w:t>
      </w:r>
      <w:r>
        <w:rPr>
          <w:rFonts w:ascii="Times New Roman" w:hAnsi="Times New Roman" w:eastAsia="宋体"/>
          <w:b w:val="0"/>
          <w:sz w:val="24"/>
        </w:rPr>
        <w:t>写下来。这也是为什么 PPT 上把它和 Decision rule 并列画在 P9。</w:t>
      </w:r>
    </w:p>
    <w:p/>
    <w:p>
      <w:pPr>
        <w:pStyle w:val="4"/>
        <w:pageBreakBefore w:val="0"/>
      </w:pPr>
      <w:r>
        <w:rPr>
          <w:rFonts w:ascii="Times New Roman" w:hAnsi="Times New Roman" w:eastAsia="宋体"/>
          <w:b/>
          <w:sz w:val="32"/>
        </w:rPr>
        <w:t>4.2 为什么本项目必须有它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 xml:space="preserve">最大的风险不是 Ru，而是 </w:t>
      </w:r>
      <w:r>
        <w:rPr>
          <w:rFonts w:ascii="Times New Roman" w:hAnsi="Times New Roman" w:eastAsia="宋体"/>
          <w:b/>
          <w:sz w:val="24"/>
        </w:rPr>
        <w:t>Mn 本身</w:t>
      </w:r>
      <w:r>
        <w:rPr>
          <w:rFonts w:ascii="Times New Roman" w:hAnsi="Times New Roman" w:eastAsia="宋体"/>
          <w:b w:val="0"/>
          <w:sz w:val="24"/>
        </w:rPr>
        <w:t>（P9 左列第一条）：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>如果 MnO2 在我们要用的电位区间里先溶解，那么无论 Ru 被稳定得多好，"Ru–O–Mn 界面"都会随载体一起消失；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>如果是这样，继续做界面工程、参数扫描就是在一个会散架的载体上优化，投入的样品和时间都白费。</w:t>
      </w:r>
    </w:p>
    <w:p/>
    <w:p>
      <w:pPr>
        <w:pStyle w:val="4"/>
        <w:pageBreakBefore w:val="0"/>
      </w:pPr>
      <w:r>
        <w:rPr>
          <w:rFonts w:ascii="Times New Roman" w:hAnsi="Times New Roman" w:eastAsia="宋体"/>
          <w:b/>
          <w:sz w:val="32"/>
        </w:rPr>
        <w:t>4.3 具体做什么（图上四行，逐行对应）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① Potential-step dissolution scan —— 电位阶跃溶出扫描，1.40 → 1.90 V vs RHE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从 1.40 V 起、按固定步长升到 1.90 V；每个电位保持一段时间、单独收集电解液。这样得到的是</w:t>
      </w:r>
      <w:r>
        <w:rPr>
          <w:rFonts w:ascii="Times New Roman" w:hAnsi="Times New Roman" w:eastAsia="宋体"/>
          <w:b/>
          <w:sz w:val="24"/>
        </w:rPr>
        <w:t>"溶解速率 vs 电位"的曲线</w:t>
      </w:r>
      <w:r>
        <w:rPr>
          <w:rFonts w:ascii="Times New Roman" w:hAnsi="Times New Roman" w:eastAsia="宋体"/>
          <w:b w:val="0"/>
          <w:sz w:val="24"/>
        </w:rPr>
        <w:t>，而不是一个笼统的"它溶了没有"。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为什么从 1.40 起</w:t>
      </w:r>
      <w:r>
        <w:rPr>
          <w:rFonts w:ascii="Times New Roman" w:hAnsi="Times New Roman" w:eastAsia="宋体"/>
          <w:b w:val="0"/>
          <w:sz w:val="24"/>
        </w:rPr>
        <w:t>：1.40 V 之下 MnO2 本身就不在稳定区（§3），测了没有信息量；1.90 V 已覆盖 PEM 电解槽的高电流工况上限。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② Segmented ICP-MS —— 分段电感耦合等离子体质谱，Ru 与 Mn 分开测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 xml:space="preserve">每一段电解液分别测 </w:t>
      </w:r>
      <w:r>
        <w:rPr>
          <w:rFonts w:ascii="Times New Roman" w:hAnsi="Times New Roman" w:eastAsia="宋体"/>
          <w:b/>
          <w:sz w:val="24"/>
        </w:rPr>
        <w:t>Ru 和 Mn 各自的溶解量</w:t>
      </w:r>
      <w:r>
        <w:rPr>
          <w:rFonts w:ascii="Times New Roman" w:hAnsi="Times New Roman" w:eastAsia="宋体"/>
          <w:b w:val="0"/>
          <w:sz w:val="24"/>
        </w:rPr>
        <w:t>。这是整个 go/no-go 的核心读数：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>Mn 快、Ru 慢 → 载体先垮 → 触发 no-go 分支；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>两者都慢，或 Ru 快、Mn 慢 → Mn 在这里起到了稳定作用 → go。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为什么强调"分开测"</w:t>
      </w:r>
      <w:r>
        <w:rPr>
          <w:rFonts w:ascii="Times New Roman" w:hAnsi="Times New Roman" w:eastAsia="宋体"/>
          <w:b w:val="0"/>
          <w:sz w:val="24"/>
        </w:rPr>
        <w:t>：只测总溶解量无法判断是"界面失效"还是"涂层脱落"，而这两者的下一步完全不同。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③ In-situ Raman —— 原位拉曼，找 ~839 cm-1 的高锰酸根带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溶解是一个结果，拉曼给的是</w:t>
      </w:r>
      <w:r>
        <w:rPr>
          <w:rFonts w:ascii="Times New Roman" w:hAnsi="Times New Roman" w:eastAsia="宋体"/>
          <w:b/>
          <w:sz w:val="24"/>
        </w:rPr>
        <w:t>路径</w:t>
      </w:r>
      <w:r>
        <w:rPr>
          <w:rFonts w:ascii="Times New Roman" w:hAnsi="Times New Roman" w:eastAsia="宋体"/>
          <w:b w:val="0"/>
          <w:sz w:val="24"/>
        </w:rPr>
        <w:t>：如果 839 cm-1 附近出现 MnO4- 的特征带，说明 Mn 是以高价溶解（氧化溶解），而不是单纯的物理脱落。这条证据直接决定 no-go 之后怎么改（见 4.5）。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④ Four controls —— 四个对照：MnO2 only · RuO2 · impregnated · substituted</w:t>
      </w:r>
    </w:p>
    <w:tbl>
      <w:tblPr>
        <w:tblStyle w:val="21"/>
        <w:tblW w:type="auto" w:w="0"/>
        <w:jc w:val="center"/>
        <w:tblLook w:firstColumn="1" w:firstRow="1" w:lastColumn="0" w:lastRow="0" w:noHBand="0" w:noVBand="1" w:val="04A0"/>
      </w:tblPr>
      <w:tblGrid>
        <w:gridCol w:w="4232"/>
        <w:gridCol w:w="4232"/>
      </w:tblGrid>
      <w:tr>
        <w:tc>
          <w:tcPr>
            <w:tcW w:type="dxa" w:w="3438"/>
            <w:shd w:fill="D9D9D9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对照</w:t>
            </w:r>
          </w:p>
        </w:tc>
        <w:tc>
          <w:tcPr>
            <w:tcW w:type="dxa" w:w="5025"/>
            <w:shd w:fill="D9D9D9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作用</w:t>
            </w:r>
          </w:p>
        </w:tc>
      </w:tr>
      <w:tr>
        <w:tc>
          <w:tcPr>
            <w:tcW w:type="dxa" w:w="423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MnO2 only</w:t>
            </w:r>
          </w:p>
        </w:tc>
        <w:tc>
          <w:tcPr>
            <w:tcW w:type="dxa" w:w="423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基线：Mn 自己在酸里到底多不稳</w:t>
            </w:r>
          </w:p>
        </w:tc>
      </w:tr>
      <w:tr>
        <w:tc>
          <w:tcPr>
            <w:tcW w:type="dxa" w:w="423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RuO2</w:t>
            </w:r>
          </w:p>
        </w:tc>
        <w:tc>
          <w:tcPr>
            <w:tcW w:type="dxa" w:w="423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基线：Ru 自己在酸里到底多不稳（做参照的"最差情况"）</w:t>
            </w:r>
          </w:p>
        </w:tc>
      </w:tr>
      <w:tr>
        <w:tc>
          <w:tcPr>
            <w:tcW w:type="dxa" w:w="423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impregnated（浸渍法）</w:t>
            </w:r>
          </w:p>
        </w:tc>
        <w:tc>
          <w:tcPr>
            <w:tcW w:type="dxa" w:w="423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界面耦合弱、Ru 主要以物理吸附/团簇形式存在</w:t>
            </w:r>
          </w:p>
        </w:tc>
      </w:tr>
      <w:tr>
        <w:tc>
          <w:tcPr>
            <w:tcW w:type="dxa" w:w="423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substituted（取代法，Ru 进骨架）</w:t>
            </w:r>
          </w:p>
        </w:tc>
        <w:tc>
          <w:tcPr>
            <w:tcW w:type="dxa" w:w="423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界面耦合强，即我们的假设路线</w:t>
            </w:r>
          </w:p>
        </w:tc>
      </w:tr>
    </w:tbl>
    <w:p/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对照的意义是</w:t>
      </w:r>
      <w:r>
        <w:rPr>
          <w:rFonts w:ascii="Times New Roman" w:hAnsi="Times New Roman" w:eastAsia="宋体"/>
          <w:b/>
          <w:sz w:val="24"/>
        </w:rPr>
        <w:t>让"耦合"这件事可比较</w:t>
      </w:r>
      <w:r>
        <w:rPr>
          <w:rFonts w:ascii="Times New Roman" w:hAnsi="Times New Roman" w:eastAsia="宋体"/>
          <w:b w:val="0"/>
          <w:sz w:val="24"/>
        </w:rPr>
        <w:t>：如果 substituted 明显优于 impregnated，就是"Ru–O–Mn 耦合起作用"的第一条实验证据；如果两者一样，说明耦合没形成，问题在工艺而不在化学。</w:t>
      </w:r>
    </w:p>
    <w:p/>
    <w:p>
      <w:pPr>
        <w:pStyle w:val="4"/>
        <w:pageBreakBefore w:val="0"/>
      </w:pPr>
      <w:r>
        <w:rPr>
          <w:rFonts w:ascii="Times New Roman" w:hAnsi="Times New Roman" w:eastAsia="宋体"/>
          <w:b/>
          <w:sz w:val="32"/>
        </w:rPr>
        <w:t>4.4 判据（Decision rule，PPT 原句）</w:t>
      </w:r>
    </w:p>
    <w:p>
      <w:pPr>
        <w:spacing w:before="120" w:after="120"/>
        <w:ind w:left="567" w:right="567"/>
        <w:pBdr>
          <w:left w:val="single" w:sz="12" w:color="6366F1"/>
        </w:pBdr>
      </w:pPr>
      <w:r>
        <w:rPr>
          <w:rFonts w:ascii="Times New Roman" w:hAnsi="Times New Roman" w:eastAsia="宋体"/>
          <w:b w:val="0"/>
          <w:sz w:val="24"/>
        </w:rPr>
        <w:t>If Mn dissolves much faster than Ru and cannot be suppressed → change phase.</w:t>
      </w:r>
    </w:p>
    <w:p>
      <w:pPr>
        <w:spacing w:before="120" w:after="120"/>
        <w:ind w:left="567" w:right="567"/>
        <w:pBdr>
          <w:left w:val="single" w:sz="12" w:color="6366F1"/>
        </w:pBdr>
      </w:pPr>
      <w:r>
        <w:rPr>
          <w:rFonts w:ascii="Times New Roman" w:hAnsi="Times New Roman" w:eastAsia="宋体"/>
          <w:b w:val="0"/>
          <w:sz w:val="24"/>
        </w:rPr>
        <w:t>Otherwise → proceed to interface engineering and parameter sweep.</w:t>
      </w:r>
    </w:p>
    <w:p/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建议会前给自己定一个可辩护的量化口径</w:t>
      </w:r>
      <w:r>
        <w:rPr>
          <w:rFonts w:ascii="Times New Roman" w:hAnsi="Times New Roman" w:eastAsia="宋体"/>
          <w:b w:val="0"/>
          <w:sz w:val="24"/>
        </w:rPr>
        <w:t>（PI 很可能追问"much faster 是多少"）：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>在同一电位段内，</w:t>
      </w:r>
      <w:r>
        <w:rPr>
          <w:rFonts w:ascii="Times New Roman" w:hAnsi="Times New Roman" w:eastAsia="宋体"/>
          <w:b/>
          <w:sz w:val="24"/>
        </w:rPr>
        <w:t>Mn 的溶解速率 ≥ Ru 的 5 倍</w:t>
      </w:r>
      <w:r>
        <w:rPr>
          <w:rFonts w:ascii="Times New Roman" w:hAnsi="Times New Roman" w:eastAsia="宋体"/>
          <w:b w:val="0"/>
          <w:sz w:val="24"/>
        </w:rPr>
        <w:t>，且</w:t>
      </w:r>
      <w:r>
        <w:rPr>
          <w:rFonts w:ascii="Times New Roman" w:hAnsi="Times New Roman" w:eastAsia="宋体"/>
          <w:b/>
          <w:sz w:val="24"/>
        </w:rPr>
        <w:t>随电位升高不出现下降（无钝化趋势）</w:t>
      </w:r>
      <w:r>
        <w:rPr>
          <w:rFonts w:ascii="Times New Roman" w:hAnsi="Times New Roman" w:eastAsia="宋体"/>
          <w:b w:val="0"/>
          <w:sz w:val="24"/>
        </w:rPr>
        <w:t xml:space="preserve"> → 判为 no-go；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 xml:space="preserve">同时出现 </w:t>
      </w:r>
      <w:r>
        <w:rPr>
          <w:rFonts w:ascii="Times New Roman" w:hAnsi="Times New Roman" w:eastAsia="宋体"/>
          <w:b/>
          <w:sz w:val="24"/>
        </w:rPr>
        <w:t>839 cm-1 的高锰酸根带</w:t>
      </w:r>
      <w:r>
        <w:rPr>
          <w:rFonts w:ascii="Times New Roman" w:hAnsi="Times New Roman" w:eastAsia="宋体"/>
          <w:b w:val="0"/>
          <w:sz w:val="24"/>
        </w:rPr>
        <w:t xml:space="preserve"> → 直接判为 no-go（说明是氧化溶解，不是脱落）。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这两句一说，"much faster"就从一个形容词变成了一个判据。</w:t>
      </w:r>
    </w:p>
    <w:p/>
    <w:p>
      <w:pPr>
        <w:pStyle w:val="4"/>
        <w:pageBreakBefore w:val="0"/>
      </w:pPr>
      <w:r>
        <w:rPr>
          <w:rFonts w:ascii="Times New Roman" w:hAnsi="Times New Roman" w:eastAsia="宋体"/>
          <w:b/>
          <w:sz w:val="32"/>
        </w:rPr>
        <w:t>4.5 两条分支的下一步（这是"门"的意义所在）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no-go 分支</w:t>
      </w:r>
      <w:r>
        <w:rPr>
          <w:rFonts w:ascii="Times New Roman" w:hAnsi="Times New Roman" w:eastAsia="宋体"/>
          <w:b w:val="0"/>
          <w:sz w:val="24"/>
        </w:rPr>
        <w:t>（Mn 先溶且抑制不住）三选一：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1. </w:t>
      </w:r>
      <w:r>
        <w:rPr>
          <w:rFonts w:ascii="Times New Roman" w:hAnsi="Times New Roman" w:eastAsia="宋体"/>
          <w:b/>
          <w:sz w:val="24"/>
        </w:rPr>
        <w:t>换 MnO2 的相</w:t>
      </w:r>
      <w:r>
        <w:rPr>
          <w:rFonts w:ascii="Times New Roman" w:hAnsi="Times New Roman" w:eastAsia="宋体"/>
          <w:b w:val="0"/>
          <w:sz w:val="24"/>
        </w:rPr>
        <w:t>：α- / β- / γ- / δ-MnO2 的隧道结构与边缘位密度不同，稳定性差别很大（已有的 Ru/α-MnO2 先例就是 α 相）；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2. </w:t>
      </w:r>
      <w:r>
        <w:rPr>
          <w:rFonts w:ascii="Times New Roman" w:hAnsi="Times New Roman" w:eastAsia="宋体"/>
          <w:b/>
          <w:sz w:val="24"/>
        </w:rPr>
        <w:t>改氧配位环境</w:t>
      </w:r>
      <w:r>
        <w:rPr>
          <w:rFonts w:ascii="Times New Roman" w:hAnsi="Times New Roman" w:eastAsia="宋体"/>
          <w:b w:val="0"/>
          <w:sz w:val="24"/>
        </w:rPr>
        <w:t>：通过掺杂/配位调整提高氧空位形成能（AEM-5 §6 记载的 W/Er 掺杂 RuO2 思路就是这个类型的策略）；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3. </w:t>
      </w:r>
      <w:r>
        <w:rPr>
          <w:rFonts w:ascii="Times New Roman" w:hAnsi="Times New Roman" w:eastAsia="宋体"/>
          <w:b/>
          <w:sz w:val="24"/>
        </w:rPr>
        <w:t>先掺 Ru 再长出 MnO2</w:t>
      </w:r>
      <w:r>
        <w:rPr>
          <w:rFonts w:ascii="Times New Roman" w:hAnsi="Times New Roman" w:eastAsia="宋体"/>
          <w:b w:val="0"/>
          <w:sz w:val="24"/>
        </w:rPr>
        <w:t>：即 P8 里说的 "dope Ru first"，让 Mn 的生长受已有 Ru 位点约束，形成更致密的界面。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go 分支</w:t>
      </w:r>
      <w:r>
        <w:rPr>
          <w:rFonts w:ascii="Times New Roman" w:hAnsi="Times New Roman" w:eastAsia="宋体"/>
          <w:b w:val="0"/>
          <w:sz w:val="24"/>
        </w:rPr>
        <w:t>（Mn 不比 Ru 先溶）：进入</w:t>
      </w:r>
      <w:r>
        <w:rPr>
          <w:rFonts w:ascii="Times New Roman" w:hAnsi="Times New Roman" w:eastAsia="宋体"/>
          <w:b/>
          <w:sz w:val="24"/>
        </w:rPr>
        <w:t>界面工程 + 参数扫描</w:t>
      </w:r>
      <w:r>
        <w:rPr>
          <w:rFonts w:ascii="Times New Roman" w:hAnsi="Times New Roman" w:eastAsia="宋体"/>
          <w:b w:val="0"/>
          <w:sz w:val="24"/>
        </w:rPr>
        <w:t>——沉积电荷量 0.5–10 mC cm-2、电流/电位、浴 pH，以及 Ru 引入方式（共沉积 / 浸渍 / 阳离子交换），把"界面耦合的密度与构型"当成可扫描变量（P8）。</w:t>
      </w:r>
    </w:p>
    <w:p/>
    <w:p>
      <w:pPr>
        <w:pStyle w:val="4"/>
        <w:pageBreakBefore w:val="0"/>
      </w:pPr>
      <w:r>
        <w:rPr>
          <w:rFonts w:ascii="Times New Roman" w:hAnsi="Times New Roman" w:eastAsia="宋体"/>
          <w:b/>
          <w:sz w:val="32"/>
        </w:rPr>
        <w:t>4.6 时间与资源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 xml:space="preserve">前 </w:t>
      </w:r>
      <w:r>
        <w:rPr>
          <w:rFonts w:ascii="Times New Roman" w:hAnsi="Times New Roman" w:eastAsia="宋体"/>
          <w:b/>
          <w:sz w:val="24"/>
        </w:rPr>
        <w:t>2–3 周</w:t>
      </w:r>
      <w:r>
        <w:rPr>
          <w:rFonts w:ascii="Times New Roman" w:hAnsi="Times New Roman" w:eastAsia="宋体"/>
          <w:b w:val="0"/>
          <w:sz w:val="24"/>
        </w:rPr>
        <w:t>（10 月 8 日进实验室之后）；样品量小（几片 Ti felt / 碳纸），主要成本是 ICP-MS 机时与拉曼机时。这一点如果被问"三周够不够"，答：</w:t>
      </w:r>
      <w:r>
        <w:rPr>
          <w:rFonts w:ascii="Times New Roman" w:hAnsi="Times New Roman" w:eastAsia="宋体"/>
          <w:b/>
          <w:sz w:val="24"/>
        </w:rPr>
        <w:t>"够——因为它只回答一个问题：Mn 和 Ru 谁先走。"</w:t>
      </w:r>
    </w:p>
    <w:p/>
    <w:p>
      <w:pPr>
        <w:pStyle w:val="4"/>
        <w:pageBreakBefore w:val="0"/>
      </w:pPr>
      <w:r>
        <w:rPr>
          <w:rFonts w:ascii="Times New Roman" w:hAnsi="Times New Roman" w:eastAsia="宋体"/>
          <w:b/>
          <w:sz w:val="32"/>
        </w:rPr>
        <w:t>4.7 可能追问速答</w:t>
      </w:r>
    </w:p>
    <w:tbl>
      <w:tblPr>
        <w:tblStyle w:val="21"/>
        <w:tblW w:type="auto" w:w="0"/>
        <w:jc w:val="center"/>
        <w:tblLook w:firstColumn="1" w:firstRow="1" w:lastColumn="0" w:lastRow="0" w:noHBand="0" w:noVBand="1" w:val="04A0"/>
      </w:tblPr>
      <w:tblGrid>
        <w:gridCol w:w="4232"/>
        <w:gridCol w:w="4232"/>
      </w:tblGrid>
      <w:tr>
        <w:tc>
          <w:tcPr>
            <w:tcW w:type="dxa" w:w="1525"/>
            <w:shd w:fill="D9D9D9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追问</w:t>
            </w:r>
          </w:p>
        </w:tc>
        <w:tc>
          <w:tcPr>
            <w:tcW w:type="dxa" w:w="6938"/>
            <w:shd w:fill="D9D9D9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答</w:t>
            </w:r>
          </w:p>
        </w:tc>
      </w:tr>
      <w:tr>
        <w:tc>
          <w:tcPr>
            <w:tcW w:type="dxa" w:w="423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为什么不直接做长时恒电流（例如 200 h）？</w:t>
            </w:r>
          </w:p>
        </w:tc>
        <w:tc>
          <w:tcPr>
            <w:tcW w:type="dxa" w:w="423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长时测试需要一个"合理的电位"；电位选错了就是浪费 200 h 和样品。先做电位扫描定窗口，再定长时测试的电位，顺序不能反。</w:t>
            </w:r>
          </w:p>
        </w:tc>
      </w:tr>
      <w:tr>
        <w:tc>
          <w:tcPr>
            <w:tcW w:type="dxa" w:w="423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ICP-MS 分段怎么实现？</w:t>
            </w:r>
          </w:p>
        </w:tc>
        <w:tc>
          <w:tcPr>
            <w:tcW w:type="dxa" w:w="423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离线分段收集电解液后逐段进样（若仪器条件允许，在线进样更好）；关键是每个电位段体积与时间记录准确，才能换算成 μg cm-2 h-1（PPT 上用词为 mass-normalised dissolution rate）。</w:t>
            </w:r>
          </w:p>
        </w:tc>
      </w:tr>
      <w:tr>
        <w:tc>
          <w:tcPr>
            <w:tcW w:type="dxa" w:w="423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为什么要原位拉曼，不能只测 ICP-MS？</w:t>
            </w:r>
          </w:p>
        </w:tc>
        <w:tc>
          <w:tcPr>
            <w:tcW w:type="dxa" w:w="423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ICP-MS 告诉你"溶了多少"，拉曼告诉你"怎么溶的（是不是高锰酸根）"；改路线时必须知道路径。</w:t>
            </w:r>
          </w:p>
        </w:tc>
      </w:tr>
      <w:tr>
        <w:tc>
          <w:tcPr>
            <w:tcW w:type="dxa" w:w="423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四个对照够吗？</w:t>
            </w:r>
          </w:p>
        </w:tc>
        <w:tc>
          <w:tcPr>
            <w:tcW w:type="dxa" w:w="423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够。它的目的是把"耦合"变成一个可比较的变量；后续参数扫描时再增加对照。</w:t>
            </w:r>
          </w:p>
        </w:tc>
      </w:tr>
      <w:tr>
        <w:tc>
          <w:tcPr>
            <w:tcW w:type="dxa" w:w="423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如果 go 了，这套溶解测试还做吗？</w:t>
            </w:r>
          </w:p>
        </w:tc>
        <w:tc>
          <w:tcPr>
            <w:tcW w:type="dxa" w:w="423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做，而且会变成长期测试的标配：长时恒电流 + 分段 ICP-MS，产出 S-number（每溶解一个金属原子所析出的氧分子数）——这正是五篇里没有、我们要自己产生的数据。</w:t>
            </w:r>
          </w:p>
        </w:tc>
      </w:tr>
    </w:tbl>
    <w:p/>
    <w:p/>
    <w:p>
      <w:pPr>
        <w:spacing w:before="120" w:after="120"/>
        <w:pBdr>
          <w:bottom w:val="single" w:sz="6" w:color="CCCCCC"/>
        </w:pBdr>
      </w:pP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5. 附表（P11）逐条注解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读法：</w:t>
      </w:r>
      <w:r>
        <w:rPr>
          <w:rFonts w:ascii="Times New Roman" w:hAnsi="Times New Roman" w:eastAsia="宋体"/>
          <w:b/>
          <w:sz w:val="24"/>
        </w:rPr>
        <w:t>数值 → 它是什么意思 → 出自哪 → 为什么放在这一页 → 被追问怎么答</w:t>
      </w:r>
      <w:r>
        <w:rPr>
          <w:rFonts w:ascii="Times New Roman" w:hAnsi="Times New Roman" w:eastAsia="宋体"/>
          <w:b w:val="0"/>
          <w:sz w:val="24"/>
        </w:rPr>
        <w:t>。</w:t>
      </w:r>
    </w:p>
    <w:p/>
    <w:p>
      <w:pPr>
        <w:pStyle w:val="4"/>
        <w:pageBreakBefore w:val="0"/>
      </w:pPr>
      <w:r>
        <w:rPr>
          <w:rFonts w:ascii="Times New Roman" w:hAnsi="Times New Roman" w:eastAsia="宋体"/>
          <w:b/>
          <w:sz w:val="32"/>
        </w:rPr>
        <w:t>5.1 CSC-4（Chem. Soc. Rev. 2020，设计基础）</w:t>
      </w:r>
    </w:p>
    <w:tbl>
      <w:tblPr>
        <w:tblStyle w:val="21"/>
        <w:tblW w:type="auto" w:w="0"/>
        <w:jc w:val="center"/>
        <w:tblLook w:firstColumn="1" w:firstRow="1" w:lastColumn="0" w:lastRow="0" w:noHBand="0" w:noVBand="1" w:val="04A0"/>
      </w:tblPr>
      <w:tblGrid>
        <w:gridCol w:w="2116"/>
        <w:gridCol w:w="2116"/>
        <w:gridCol w:w="2116"/>
        <w:gridCol w:w="2116"/>
      </w:tblGrid>
      <w:tr>
        <w:tc>
          <w:tcPr>
            <w:tcW w:type="dxa" w:w="1506"/>
            <w:shd w:fill="D9D9D9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数值</w:t>
            </w:r>
          </w:p>
        </w:tc>
        <w:tc>
          <w:tcPr>
            <w:tcW w:type="dxa" w:w="1908"/>
            <w:shd w:fill="D9D9D9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含义</w:t>
            </w:r>
          </w:p>
        </w:tc>
        <w:tc>
          <w:tcPr>
            <w:tcW w:type="dxa" w:w="954"/>
            <w:shd w:fill="D9D9D9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出处</w:t>
            </w:r>
          </w:p>
        </w:tc>
        <w:tc>
          <w:tcPr>
            <w:tcW w:type="dxa" w:w="4093"/>
            <w:shd w:fill="D9D9D9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追问速答</w:t>
            </w:r>
          </w:p>
        </w:tc>
      </w:tr>
      <w:tr>
        <w:tc>
          <w:tcPr>
            <w:tcW w:type="dxa" w:w="2116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火山顶极限 ≈ 0.37 V</w:t>
            </w:r>
          </w:p>
        </w:tc>
        <w:tc>
          <w:tcPr>
            <w:tcW w:type="dxa" w:w="2116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标度关系导致的 OER 过电位下限</w:t>
            </w:r>
          </w:p>
        </w:tc>
        <w:tc>
          <w:tcPr>
            <w:tcW w:type="dxa" w:w="2116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§3.2（pp. 2203–2204）</w:t>
            </w:r>
          </w:p>
        </w:tc>
        <w:tc>
          <w:tcPr>
            <w:tcW w:type="dxa" w:w="2116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"这不是某个材料的性能，是标度关系本身设的下限；1.60 eV 的最大台阶减 1.23 eV 就是它。"</w:t>
            </w:r>
          </w:p>
        </w:tc>
      </w:tr>
      <w:tr>
        <w:tc>
          <w:tcPr>
            <w:tcW w:type="dxa" w:w="2116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质子受体把决速步降到 0.26 / 0.10 eV</w:t>
            </w:r>
          </w:p>
        </w:tc>
        <w:tc>
          <w:tcPr>
            <w:tcW w:type="dxa" w:w="2116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换机理后对应过电位降到 0.26 / 0.10 V</w:t>
            </w:r>
          </w:p>
        </w:tc>
        <w:tc>
          <w:tcPr>
            <w:tcW w:type="dxa" w:w="2116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§3.2（pp. 2203–2204）</w:t>
            </w:r>
          </w:p>
        </w:tc>
        <w:tc>
          <w:tcPr>
            <w:tcW w:type="dxa" w:w="2116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"理论/计算层面的结果，说明机理可以突破上限，不是实测值。"</w:t>
            </w:r>
          </w:p>
        </w:tc>
      </w:tr>
      <w:tr>
        <w:tc>
          <w:tcPr>
            <w:tcW w:type="dxa" w:w="2116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γ-MnO2：8000 h at pH 2</w:t>
            </w:r>
          </w:p>
        </w:tc>
        <w:tc>
          <w:tcPr>
            <w:tcW w:type="dxa" w:w="2116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锰基材料在酸性中被报道的最长寿命</w:t>
            </w:r>
          </w:p>
        </w:tc>
        <w:tc>
          <w:tcPr>
            <w:tcW w:type="dxa" w:w="2116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§4.4（p. 2208）</w:t>
            </w:r>
          </w:p>
        </w:tc>
        <w:tc>
          <w:tcPr>
            <w:tcW w:type="dxa" w:w="2116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"文献报道值，对应特定电位与负载；我们要测的是在我们目标电位区间里还能不能保住——这正是 go/no-go 要回答的。"</w:t>
            </w:r>
          </w:p>
        </w:tc>
      </w:tr>
      <w:tr>
        <w:tc>
          <w:tcPr>
            <w:tcW w:type="dxa" w:w="2116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Mn3+：eg = 1</w:t>
            </w:r>
          </w:p>
        </w:tc>
        <w:tc>
          <w:tcPr>
            <w:tcW w:type="dxa" w:w="2116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Mn3+ 的 eg 轨道占据数为 1，是 OER 最优电子构型</w:t>
            </w:r>
          </w:p>
        </w:tc>
        <w:tc>
          <w:tcPr>
            <w:tcW w:type="dxa" w:w="2116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§2.2（p. 2200）</w:t>
            </w:r>
          </w:p>
        </w:tc>
        <w:tc>
          <w:tcPr>
            <w:tcW w:type="dxa" w:w="2116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"这是我们让 Mn 承担质子受体/电荷缓冲角色的理论依据，而不是让 Mn 当主催化剂。"</w:t>
            </w:r>
          </w:p>
        </w:tc>
      </w:tr>
    </w:tbl>
    <w:p/>
    <w:p/>
    <w:p>
      <w:pPr>
        <w:pStyle w:val="4"/>
        <w:pageBreakBefore w:val="0"/>
      </w:pPr>
      <w:r>
        <w:rPr>
          <w:rFonts w:ascii="Times New Roman" w:hAnsi="Times New Roman" w:eastAsia="宋体"/>
          <w:b/>
          <w:sz w:val="32"/>
        </w:rPr>
        <w:t>5.2 AEM-5（Adv. Energy Mater. 2023，薛组综述）</w:t>
      </w:r>
    </w:p>
    <w:tbl>
      <w:tblPr>
        <w:tblStyle w:val="21"/>
        <w:tblW w:type="auto" w:w="0"/>
        <w:jc w:val="center"/>
        <w:tblLook w:firstColumn="1" w:firstRow="1" w:lastColumn="0" w:lastRow="0" w:noHBand="0" w:noVBand="1" w:val="04A0"/>
      </w:tblPr>
      <w:tblGrid>
        <w:gridCol w:w="2116"/>
        <w:gridCol w:w="2116"/>
        <w:gridCol w:w="2116"/>
        <w:gridCol w:w="2116"/>
      </w:tblGrid>
      <w:tr>
        <w:tc>
          <w:tcPr>
            <w:tcW w:type="dxa" w:w="950"/>
            <w:shd w:fill="D9D9D9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数值</w:t>
            </w:r>
          </w:p>
        </w:tc>
        <w:tc>
          <w:tcPr>
            <w:tcW w:type="dxa" w:w="2850"/>
            <w:shd w:fill="D9D9D9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含义</w:t>
            </w:r>
          </w:p>
        </w:tc>
        <w:tc>
          <w:tcPr>
            <w:tcW w:type="dxa" w:w="329"/>
            <w:shd w:fill="D9D9D9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出处</w:t>
            </w:r>
          </w:p>
        </w:tc>
        <w:tc>
          <w:tcPr>
            <w:tcW w:type="dxa" w:w="4333"/>
            <w:shd w:fill="D9D9D9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追问速答</w:t>
            </w:r>
          </w:p>
        </w:tc>
      </w:tr>
      <w:tr>
        <w:tc>
          <w:tcPr>
            <w:tcW w:type="dxa" w:w="2116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Ru 失效 via RuO4 + LOM</w:t>
            </w:r>
          </w:p>
        </w:tc>
        <w:tc>
          <w:tcPr>
            <w:tcW w:type="dxa" w:w="2116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两条失效通道：过氧化为可溶 RuO4；晶格氧参与（LOM）</w:t>
            </w:r>
          </w:p>
        </w:tc>
        <w:tc>
          <w:tcPr>
            <w:tcW w:type="dxa" w:w="2116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§6（p. 15）</w:t>
            </w:r>
          </w:p>
        </w:tc>
        <w:tc>
          <w:tcPr>
            <w:tcW w:type="dxa" w:w="2116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对应 P4 两幅图；"任何稳定化主张都要用溶解类指标来证明，而不是只看过电位。"</w:t>
            </w:r>
          </w:p>
        </w:tc>
      </w:tr>
      <w:tr>
        <w:tc>
          <w:tcPr>
            <w:tcW w:type="dxa" w:w="2116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W/Er 掺杂 RuO2：168 mV、500 h</w:t>
            </w:r>
          </w:p>
        </w:tc>
        <w:tc>
          <w:tcPr>
            <w:tcW w:type="dxa" w:w="2116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掺杂抑制氧空位生成的实例</w:t>
            </w:r>
          </w:p>
        </w:tc>
        <w:tc>
          <w:tcPr>
            <w:tcW w:type="dxa" w:w="2116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§6（pp. 15–16）</w:t>
            </w:r>
          </w:p>
        </w:tc>
        <w:tc>
          <w:tcPr>
            <w:tcW w:type="dxa" w:w="2116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"这是'提高氧空位形成能'这一类策略的实证；我们不做 W/Er，但策略类型相同。"</w:t>
            </w:r>
          </w:p>
        </w:tc>
      </w:tr>
      <w:tr>
        <w:tc>
          <w:tcPr>
            <w:tcW w:type="dxa" w:w="2116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Ru/α-MnO2 先例：161 mV、&gt; 200 h、OPM、无 VO</w:t>
            </w:r>
          </w:p>
        </w:tc>
        <w:tc>
          <w:tcPr>
            <w:tcW w:type="dxa" w:w="2116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 xml:space="preserve">阳离子交换把 Ru 放到 α-MnO2 上，原位重构出有序 Ru 原子阵列；走 </w:t>
            </w:r>
            <w:r>
              <w:rPr>
                <w:rFonts w:ascii="Times New Roman" w:hAnsi="Times New Roman" w:eastAsia="宋体"/>
                <w:b/>
                <w:sz w:val="24"/>
              </w:rPr>
              <w:t>OPM（oxide path mechanism，氧化物路径机制）</w:t>
            </w:r>
            <w:r>
              <w:rPr>
                <w:rFonts w:ascii="Times New Roman" w:hAnsi="Times New Roman" w:eastAsia="宋体"/>
                <w:b w:val="0"/>
                <w:sz w:val="24"/>
              </w:rPr>
              <w:t>且</w:t>
            </w:r>
            <w:r>
              <w:rPr>
                <w:rFonts w:ascii="Times New Roman" w:hAnsi="Times New Roman" w:eastAsia="宋体"/>
                <w:b/>
                <w:sz w:val="24"/>
              </w:rPr>
              <w:t>不形成氧空位（no VO）</w:t>
            </w:r>
          </w:p>
        </w:tc>
        <w:tc>
          <w:tcPr>
            <w:tcW w:type="dxa" w:w="2116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§6（pp. 15–16）</w:t>
            </w:r>
          </w:p>
        </w:tc>
        <w:tc>
          <w:tcPr>
            <w:tcW w:type="dxa" w:w="2116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/>
                <w:sz w:val="24"/>
              </w:rPr>
              <w:t>这是全篇最直接支持我们课题的先例。</w:t>
            </w:r>
            <w:r>
              <w:rPr>
                <w:rFonts w:ascii="Times New Roman" w:hAnsi="Times New Roman" w:eastAsia="宋体"/>
                <w:b w:val="0"/>
                <w:sz w:val="24"/>
              </w:rPr>
              <w:t>一定要说清口径：</w:t>
            </w:r>
            <w:r>
              <w:rPr>
                <w:rFonts w:ascii="Times New Roman" w:hAnsi="Times New Roman" w:eastAsia="宋体"/>
                <w:b/>
                <w:sz w:val="24"/>
              </w:rPr>
              <w:t>"这是综述里记载的他人工作（as reviewed in our group's review），不是我们组自己的数据。"</w:t>
            </w:r>
            <w:r>
              <w:rPr>
                <w:rFonts w:ascii="Times New Roman" w:hAnsi="Times New Roman" w:eastAsia="宋体"/>
                <w:b w:val="0"/>
                <w:sz w:val="24"/>
              </w:rPr>
              <w:t xml:space="preserve"> OPM = oxide path mechanism；VO = oxygen vacancy（氧空位）。</w:t>
            </w:r>
          </w:p>
        </w:tc>
      </w:tr>
    </w:tbl>
    <w:p/>
    <w:p/>
    <w:p>
      <w:pPr>
        <w:pStyle w:val="4"/>
        <w:pageBreakBefore w:val="0"/>
      </w:pPr>
      <w:r>
        <w:rPr>
          <w:rFonts w:ascii="Times New Roman" w:hAnsi="Times New Roman" w:eastAsia="宋体"/>
          <w:b/>
          <w:sz w:val="32"/>
        </w:rPr>
        <w:t>5.3 NE-2（Nat. Energy 2023，海水电解局部环境）</w:t>
      </w:r>
    </w:p>
    <w:tbl>
      <w:tblPr>
        <w:tblStyle w:val="21"/>
        <w:tblW w:type="auto" w:w="0"/>
        <w:jc w:val="center"/>
        <w:tblLook w:firstColumn="1" w:firstRow="1" w:lastColumn="0" w:lastRow="0" w:noHBand="0" w:noVBand="1" w:val="04A0"/>
      </w:tblPr>
      <w:tblGrid>
        <w:gridCol w:w="2116"/>
        <w:gridCol w:w="2116"/>
        <w:gridCol w:w="2116"/>
        <w:gridCol w:w="2116"/>
      </w:tblGrid>
      <w:tr>
        <w:tc>
          <w:tcPr>
            <w:tcW w:type="dxa" w:w="1011"/>
            <w:shd w:fill="D9D9D9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数值</w:t>
            </w:r>
          </w:p>
        </w:tc>
        <w:tc>
          <w:tcPr>
            <w:tcW w:type="dxa" w:w="1572"/>
            <w:shd w:fill="D9D9D9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含义</w:t>
            </w:r>
          </w:p>
        </w:tc>
        <w:tc>
          <w:tcPr>
            <w:tcW w:type="dxa" w:w="642"/>
            <w:shd w:fill="D9D9D9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出处</w:t>
            </w:r>
          </w:p>
        </w:tc>
        <w:tc>
          <w:tcPr>
            <w:tcW w:type="dxa" w:w="5237"/>
            <w:shd w:fill="D9D9D9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追问速答</w:t>
            </w:r>
          </w:p>
        </w:tc>
      </w:tr>
      <w:tr>
        <w:tc>
          <w:tcPr>
            <w:tcW w:type="dxa" w:w="2116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表面 pH ≈ 14 at 1.6 V（RRDE，N_D = 0.37）</w:t>
            </w:r>
          </w:p>
        </w:tc>
        <w:tc>
          <w:tcPr>
            <w:tcW w:type="dxa" w:w="2116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用电化学方法</w:t>
            </w:r>
            <w:r>
              <w:rPr>
                <w:rFonts w:ascii="Times New Roman" w:hAnsi="Times New Roman" w:eastAsia="宋体"/>
                <w:b/>
                <w:sz w:val="24"/>
              </w:rPr>
              <w:t>定量界面局部 pH</w:t>
            </w:r>
            <w:r>
              <w:rPr>
                <w:rFonts w:ascii="Times New Roman" w:hAnsi="Times New Roman" w:eastAsia="宋体"/>
                <w:b w:val="0"/>
                <w:sz w:val="24"/>
              </w:rPr>
              <w:t>：1.60 V vs RHE 时电极表面 pH 接近 14</w:t>
            </w:r>
          </w:p>
        </w:tc>
        <w:tc>
          <w:tcPr>
            <w:tcW w:type="dxa" w:w="2116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pp. 264–267，方法见 p. 270</w:t>
            </w:r>
          </w:p>
        </w:tc>
        <w:tc>
          <w:tcPr>
            <w:tcW w:type="dxa" w:w="2116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/>
                <w:sz w:val="24"/>
              </w:rPr>
              <w:t>关键澄清：N_D = 0.37 是旋转环盘电极（RRDE）的收集效率（collection efficiency），用来把环电流换算成界面 pH 的定量依据——不是电子转移数，也不是选择性。</w:t>
            </w:r>
            <w:r>
              <w:rPr>
                <w:rFonts w:ascii="Times New Roman" w:hAnsi="Times New Roman" w:eastAsia="宋体"/>
                <w:b w:val="0"/>
                <w:sz w:val="24"/>
              </w:rPr>
              <w:t xml:space="preserve"> 被问就按这句话答。（该结论的证据链还有：原位红外 H2O∗ 谱带位移、DFT 水解离能垒 0.08 eV。）</w:t>
            </w:r>
          </w:p>
        </w:tc>
      </w:tr>
      <w:tr>
        <w:tc>
          <w:tcPr>
            <w:tcW w:type="dxa" w:w="2116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O2 选择性 ≈ 98%</w:t>
            </w:r>
          </w:p>
        </w:tc>
        <w:tc>
          <w:tcPr>
            <w:tcW w:type="dxa" w:w="2116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抗氯离子、主要产氧</w:t>
            </w:r>
          </w:p>
        </w:tc>
        <w:tc>
          <w:tcPr>
            <w:tcW w:type="dxa" w:w="2116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pp. 266–268</w:t>
            </w:r>
          </w:p>
        </w:tc>
        <w:tc>
          <w:tcPr>
            <w:tcW w:type="dxa" w:w="2116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"在含氯体系里做到 98% 产氧，靠的是界面碱性微环境；对我们的意义是'局部环境是设计变量'。"</w:t>
            </w:r>
          </w:p>
        </w:tc>
      </w:tr>
      <w:tr>
        <w:tc>
          <w:tcPr>
            <w:tcW w:type="dxa" w:w="2116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&gt; 200 h</w:t>
            </w:r>
          </w:p>
        </w:tc>
        <w:tc>
          <w:tcPr>
            <w:tcW w:type="dxa" w:w="2116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长时间稳定性</w:t>
            </w:r>
          </w:p>
        </w:tc>
        <w:tc>
          <w:tcPr>
            <w:tcW w:type="dxa" w:w="2116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pp. 264–267</w:t>
            </w:r>
          </w:p>
        </w:tc>
        <w:tc>
          <w:tcPr>
            <w:tcW w:type="dxa" w:w="2116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"稳定性是在该体系的工况下取得的，不能直接外推到强酸。"</w:t>
            </w:r>
          </w:p>
        </w:tc>
      </w:tr>
      <w:tr>
        <w:tc>
          <w:tcPr>
            <w:tcW w:type="dxa" w:w="2116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60 °C：1.87 V at 1.0 A cm-2</w:t>
            </w:r>
          </w:p>
        </w:tc>
        <w:tc>
          <w:tcPr>
            <w:tcW w:type="dxa" w:w="2116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器件级工况数据</w:t>
            </w:r>
          </w:p>
        </w:tc>
        <w:tc>
          <w:tcPr>
            <w:tcW w:type="dxa" w:w="2116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pp. 264–267</w:t>
            </w:r>
          </w:p>
        </w:tc>
        <w:tc>
          <w:tcPr>
            <w:tcW w:type="dxa" w:w="2116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"这是器件层面的报数方式（电压 @ 电流密度 + 温度），P10 的 device 测试就是照这种方式报。"</w:t>
            </w:r>
          </w:p>
        </w:tc>
      </w:tr>
    </w:tbl>
    <w:p/>
    <w:p/>
    <w:p>
      <w:pPr>
        <w:pStyle w:val="4"/>
        <w:pageBreakBefore w:val="0"/>
      </w:pPr>
      <w:r>
        <w:rPr>
          <w:rFonts w:ascii="Times New Roman" w:hAnsi="Times New Roman" w:eastAsia="宋体"/>
          <w:b/>
          <w:sz w:val="32"/>
        </w:rPr>
        <w:t>5.4 NC-1（Nat. Commun. 2024，Cr 掺杂）</w:t>
      </w:r>
    </w:p>
    <w:tbl>
      <w:tblPr>
        <w:tblStyle w:val="21"/>
        <w:tblW w:type="auto" w:w="0"/>
        <w:jc w:val="center"/>
        <w:tblLook w:firstColumn="1" w:firstRow="1" w:lastColumn="0" w:lastRow="0" w:noHBand="0" w:noVBand="1" w:val="04A0"/>
      </w:tblPr>
      <w:tblGrid>
        <w:gridCol w:w="2116"/>
        <w:gridCol w:w="2116"/>
        <w:gridCol w:w="2116"/>
        <w:gridCol w:w="2116"/>
      </w:tblGrid>
      <w:tr>
        <w:tc>
          <w:tcPr>
            <w:tcW w:type="dxa" w:w="1262"/>
            <w:shd w:fill="D9D9D9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数值</w:t>
            </w:r>
          </w:p>
        </w:tc>
        <w:tc>
          <w:tcPr>
            <w:tcW w:type="dxa" w:w="1242"/>
            <w:shd w:fill="D9D9D9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含义</w:t>
            </w:r>
          </w:p>
        </w:tc>
        <w:tc>
          <w:tcPr>
            <w:tcW w:type="dxa" w:w="197"/>
            <w:shd w:fill="D9D9D9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出处</w:t>
            </w:r>
          </w:p>
        </w:tc>
        <w:tc>
          <w:tcPr>
            <w:tcW w:type="dxa" w:w="5761"/>
            <w:shd w:fill="D9D9D9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追问速答</w:t>
            </w:r>
          </w:p>
        </w:tc>
      </w:tr>
      <w:tr>
        <w:tc>
          <w:tcPr>
            <w:tcW w:type="dxa" w:w="2116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Cr 掺杂非晶氧化物：η10 = 268 mV</w:t>
            </w:r>
          </w:p>
        </w:tc>
        <w:tc>
          <w:tcPr>
            <w:tcW w:type="dxa" w:w="2116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达到 10 mA cm-2 时的过电位</w:t>
            </w:r>
          </w:p>
        </w:tc>
        <w:tc>
          <w:tcPr>
            <w:tcW w:type="dxa" w:w="2116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全文</w:t>
            </w:r>
          </w:p>
        </w:tc>
        <w:tc>
          <w:tcPr>
            <w:tcW w:type="dxa" w:w="2116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"非晶 + 掺杂的路线，样品本身不是我们要做的材料，但'掺杂稳定金属'这一策略类型与我们一致。"</w:t>
            </w:r>
          </w:p>
        </w:tc>
      </w:tr>
      <w:tr>
        <w:tc>
          <w:tcPr>
            <w:tcW w:type="dxa" w:w="2116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AEM 电解槽 2.1 V at 1.5 A cm-2</w:t>
            </w:r>
          </w:p>
        </w:tc>
        <w:tc>
          <w:tcPr>
            <w:tcW w:type="dxa" w:w="2116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器件级电压—电流密度</w:t>
            </w:r>
          </w:p>
        </w:tc>
        <w:tc>
          <w:tcPr>
            <w:tcW w:type="dxa" w:w="2116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全文</w:t>
            </w:r>
          </w:p>
        </w:tc>
        <w:tc>
          <w:tcPr>
            <w:tcW w:type="dxa" w:w="2116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/>
                <w:sz w:val="24"/>
              </w:rPr>
              <w:t>注意歧义：这里的 AEM = anion exchange membrane（阴离子交换膜），与 P5 左图的 AEM = adsorbate evolution mechanism（吸附质演化机制）是两个完全不同的东西。</w:t>
            </w:r>
            <w:r>
              <w:rPr>
                <w:rFonts w:ascii="Times New Roman" w:hAnsi="Times New Roman" w:eastAsia="宋体"/>
                <w:b w:val="0"/>
                <w:sz w:val="24"/>
              </w:rPr>
              <w:t xml:space="preserve"> 口播时一定说全称。</w:t>
            </w:r>
          </w:p>
        </w:tc>
      </w:tr>
      <w:tr>
        <w:tc>
          <w:tcPr>
            <w:tcW w:type="dxa" w:w="2116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120 h at 0.5 A cm-2，&lt; 4.9 mV h-1</w:t>
            </w:r>
          </w:p>
        </w:tc>
        <w:tc>
          <w:tcPr>
            <w:tcW w:type="dxa" w:w="2116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恒电流 120 h，衰减速率小于 4.9 mV h-1</w:t>
            </w:r>
          </w:p>
        </w:tc>
        <w:tc>
          <w:tcPr>
            <w:tcW w:type="dxa" w:w="2116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全文</w:t>
            </w:r>
          </w:p>
        </w:tc>
        <w:tc>
          <w:tcPr>
            <w:tcW w:type="dxa" w:w="2116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这就是附表纪律条说的"综述只报衰减速率"的典型：我们要补的是</w:t>
            </w:r>
            <w:r>
              <w:rPr>
                <w:rFonts w:ascii="Times New Roman" w:hAnsi="Times New Roman" w:eastAsia="宋体"/>
                <w:b/>
                <w:sz w:val="24"/>
              </w:rPr>
              <w:t>溶解速率</w:t>
            </w:r>
            <w:r>
              <w:rPr>
                <w:rFonts w:ascii="Times New Roman" w:hAnsi="Times New Roman" w:eastAsia="宋体"/>
                <w:b w:val="0"/>
                <w:sz w:val="24"/>
              </w:rPr>
              <w:t>（μg cm-2 h-1 与 S-number），两者互补。</w:t>
            </w:r>
          </w:p>
        </w:tc>
      </w:tr>
    </w:tbl>
    <w:p/>
    <w:p/>
    <w:p>
      <w:pPr>
        <w:pStyle w:val="4"/>
        <w:pageBreakBefore w:val="0"/>
      </w:pPr>
      <w:r>
        <w:rPr>
          <w:rFonts w:ascii="Times New Roman" w:hAnsi="Times New Roman" w:eastAsia="宋体"/>
          <w:b/>
          <w:sz w:val="32"/>
        </w:rPr>
        <w:t>5.5 Science-3（Science 2025，POM–MOF）</w:t>
      </w:r>
    </w:p>
    <w:tbl>
      <w:tblPr>
        <w:tblStyle w:val="21"/>
        <w:tblW w:type="auto" w:w="0"/>
        <w:jc w:val="center"/>
        <w:tblLook w:firstColumn="1" w:firstRow="1" w:lastColumn="0" w:lastRow="0" w:noHBand="0" w:noVBand="1" w:val="04A0"/>
      </w:tblPr>
      <w:tblGrid>
        <w:gridCol w:w="2116"/>
        <w:gridCol w:w="2116"/>
        <w:gridCol w:w="2116"/>
        <w:gridCol w:w="2116"/>
      </w:tblGrid>
      <w:tr>
        <w:tc>
          <w:tcPr>
            <w:tcW w:type="dxa" w:w="1802"/>
            <w:shd w:fill="D9D9D9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数值</w:t>
            </w:r>
          </w:p>
        </w:tc>
        <w:tc>
          <w:tcPr>
            <w:tcW w:type="dxa" w:w="2928"/>
            <w:shd w:fill="D9D9D9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含义</w:t>
            </w:r>
          </w:p>
        </w:tc>
        <w:tc>
          <w:tcPr>
            <w:tcW w:type="dxa" w:w="321"/>
            <w:shd w:fill="D9D9D9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出处</w:t>
            </w:r>
          </w:p>
        </w:tc>
        <w:tc>
          <w:tcPr>
            <w:tcW w:type="dxa" w:w="3411"/>
            <w:shd w:fill="D9D9D9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追问速答</w:t>
            </w:r>
          </w:p>
        </w:tc>
      </w:tr>
      <w:tr>
        <w:tc>
          <w:tcPr>
            <w:tcW w:type="dxa" w:w="2116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POM–MOF 超结构</w:t>
            </w:r>
          </w:p>
        </w:tc>
        <w:tc>
          <w:tcPr>
            <w:tcW w:type="dxa" w:w="2116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多酸—金属有机框架超结构</w:t>
            </w:r>
          </w:p>
        </w:tc>
        <w:tc>
          <w:tcPr>
            <w:tcW w:type="dxa" w:w="2116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全文</w:t>
            </w:r>
          </w:p>
        </w:tc>
        <w:tc>
          <w:tcPr>
            <w:tcW w:type="dxa" w:w="2116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"说明'保护单元不必是惰性的'。"</w:t>
            </w:r>
          </w:p>
        </w:tc>
      </w:tr>
      <w:tr>
        <w:tc>
          <w:tcPr>
            <w:tcW w:type="dxa" w:w="2116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变价第二金属缓冲氧化电荷，保护活性中心</w:t>
            </w:r>
          </w:p>
        </w:tc>
        <w:tc>
          <w:tcPr>
            <w:tcW w:type="dxa" w:w="2116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保护机制：可逆变价的第二金属承担氧化电荷，避免活性中心被过氧化</w:t>
            </w:r>
          </w:p>
        </w:tc>
        <w:tc>
          <w:tcPr>
            <w:tcW w:type="dxa" w:w="2116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全文</w:t>
            </w:r>
          </w:p>
        </w:tc>
        <w:tc>
          <w:tcPr>
            <w:tcW w:type="dxa" w:w="2116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"和我们对 Mn3+/Mn4+ 的设想是同一类型：让第二个金属去'接'氧化电荷。"</w:t>
            </w:r>
          </w:p>
        </w:tc>
      </w:tr>
    </w:tbl>
    <w:p/>
    <w:p/>
    <w:p>
      <w:pPr>
        <w:pStyle w:val="4"/>
        <w:pageBreakBefore w:val="0"/>
      </w:pPr>
      <w:r>
        <w:rPr>
          <w:rFonts w:ascii="Times New Roman" w:hAnsi="Times New Roman" w:eastAsia="宋体"/>
          <w:b/>
          <w:sz w:val="32"/>
        </w:rPr>
        <w:t>5.6 附表最后那行纪律条</w:t>
      </w:r>
    </w:p>
    <w:p>
      <w:pPr>
        <w:spacing w:before="120" w:after="120"/>
        <w:ind w:left="567" w:right="567"/>
        <w:pBdr>
          <w:left w:val="single" w:sz="12" w:color="6366F1"/>
        </w:pBdr>
      </w:pPr>
      <w:r>
        <w:rPr>
          <w:rFonts w:ascii="Times New Roman" w:hAnsi="Times New Roman" w:eastAsia="宋体"/>
          <w:b w:val="0"/>
          <w:sz w:val="24"/>
        </w:rPr>
        <w:t>"every number on this slide is traceable to a page of the five assigned papers; the assigned reviews do not report dissolution-based metrics (S-number, ICP-MS rates), so those we will generate ourselves."</w:t>
      </w:r>
    </w:p>
    <w:p/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为什么必须写它：</w:t>
      </w:r>
      <w:r>
        <w:rPr>
          <w:rFonts w:ascii="Times New Roman" w:hAnsi="Times New Roman" w:eastAsia="宋体"/>
          <w:b/>
          <w:sz w:val="24"/>
        </w:rPr>
        <w:t>先手承认五篇里没有的东西</w:t>
      </w:r>
      <w:r>
        <w:rPr>
          <w:rFonts w:ascii="Times New Roman" w:hAnsi="Times New Roman" w:eastAsia="宋体"/>
          <w:b w:val="0"/>
          <w:sz w:val="24"/>
        </w:rPr>
        <w:t>。这样既表明你读透了（知道哪些有、哪些没有），又把"你自己要产出的数据"提前定义成项目贡献，而不是答辩时的漏洞。</w:t>
      </w:r>
    </w:p>
    <w:p/>
    <w:p>
      <w:pPr>
        <w:spacing w:before="120" w:after="120"/>
        <w:pBdr>
          <w:bottom w:val="single" w:sz="6" w:color="CCCCCC"/>
        </w:pBdr>
      </w:pP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6. 三个最容易说错的术语（会前默读一遍）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1. </w:t>
      </w:r>
      <w:r>
        <w:rPr>
          <w:rFonts w:ascii="Times New Roman" w:hAnsi="Times New Roman" w:eastAsia="宋体"/>
          <w:b/>
          <w:sz w:val="24"/>
        </w:rPr>
        <w:t>AEM 有两义</w:t>
      </w:r>
    </w:p>
    <w:p>
      <w:pPr>
        <w:spacing w:line="360" w:lineRule="auto"/>
        <w:ind w:left="839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>P5 左图、CSC-4 语境：</w:t>
      </w:r>
      <w:r>
        <w:rPr>
          <w:rFonts w:ascii="Times New Roman" w:hAnsi="Times New Roman" w:eastAsia="宋体"/>
          <w:b/>
          <w:sz w:val="24"/>
        </w:rPr>
        <w:t>adsorbate evolution mechanism</w:t>
      </w:r>
      <w:r>
        <w:rPr>
          <w:rFonts w:ascii="Times New Roman" w:hAnsi="Times New Roman" w:eastAsia="宋体"/>
          <w:b w:val="0"/>
          <w:sz w:val="24"/>
        </w:rPr>
        <w:t>（吸附质演化机制），与 LOM 相对；</w:t>
      </w:r>
    </w:p>
    <w:p>
      <w:pPr>
        <w:spacing w:line="360" w:lineRule="auto"/>
        <w:ind w:left="839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>P7 / P11、NC-1 语境：</w:t>
      </w:r>
      <w:r>
        <w:rPr>
          <w:rFonts w:ascii="Times New Roman" w:hAnsi="Times New Roman" w:eastAsia="宋体"/>
          <w:b/>
          <w:sz w:val="24"/>
        </w:rPr>
        <w:t>anion exchange membrane</w:t>
      </w:r>
      <w:r>
        <w:rPr>
          <w:rFonts w:ascii="Times New Roman" w:hAnsi="Times New Roman" w:eastAsia="宋体"/>
          <w:b w:val="0"/>
          <w:sz w:val="24"/>
        </w:rPr>
        <w:t>（阴离子交换膜）电解槽。</w:t>
      </w:r>
    </w:p>
    <w:p>
      <w:pPr>
        <w:spacing w:line="360" w:lineRule="auto"/>
        <w:ind w:left="839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>口播一律说全称，避免同一场报告里让听众以为你说的是同一件事。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2. </w:t>
      </w:r>
      <w:r>
        <w:rPr>
          <w:rFonts w:ascii="Times New Roman" w:hAnsi="Times New Roman" w:eastAsia="宋体"/>
          <w:b/>
          <w:sz w:val="24"/>
        </w:rPr>
        <w:t>N_D = 0.37 是 RRDE 的收集效率</w:t>
      </w:r>
      <w:r>
        <w:rPr>
          <w:rFonts w:ascii="Times New Roman" w:hAnsi="Times New Roman" w:eastAsia="宋体"/>
          <w:b w:val="0"/>
          <w:sz w:val="24"/>
        </w:rPr>
        <w:t>，不是电子转移数、不是选择性（见 5.3）。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3. </w:t>
      </w:r>
      <w:r>
        <w:rPr>
          <w:rFonts w:ascii="Times New Roman" w:hAnsi="Times New Roman" w:eastAsia="宋体"/>
          <w:b/>
          <w:sz w:val="24"/>
        </w:rPr>
        <w:t>OPM = oxide path mechanism</w:t>
      </w:r>
      <w:r>
        <w:rPr>
          <w:rFonts w:ascii="Times New Roman" w:hAnsi="Times New Roman" w:eastAsia="宋体"/>
          <w:b w:val="0"/>
          <w:sz w:val="24"/>
        </w:rPr>
        <w:t>（氧化物路径机制），</w:t>
      </w:r>
      <w:r>
        <w:rPr>
          <w:rFonts w:ascii="Times New Roman" w:hAnsi="Times New Roman" w:eastAsia="宋体"/>
          <w:b/>
          <w:sz w:val="24"/>
        </w:rPr>
        <w:t>VO = oxygen vacancy</w:t>
      </w:r>
      <w:r>
        <w:rPr>
          <w:rFonts w:ascii="Times New Roman" w:hAnsi="Times New Roman" w:eastAsia="宋体"/>
          <w:b w:val="0"/>
          <w:sz w:val="24"/>
        </w:rPr>
        <w:t>（氧空位）；AEM-5 记的"OPM、无 VO"意思是：走氧化物路径机制、且不产生氧空位——这正是我们希望在 Ru–O–Mn 界面复现的行为。</w:t>
      </w:r>
    </w:p>
    <w:p/>
    <w:p>
      <w:pPr>
        <w:spacing w:before="120" w:after="120"/>
        <w:pBdr>
          <w:bottom w:val="single" w:sz="6" w:color="CCCCCC"/>
        </w:pBdr>
      </w:pP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7. 三条兜底话术（真的答不上来时用）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1. </w:t>
      </w:r>
      <w:r>
        <w:rPr>
          <w:rFonts w:ascii="Times New Roman" w:hAnsi="Times New Roman" w:eastAsia="宋体"/>
          <w:b/>
          <w:sz w:val="24"/>
        </w:rPr>
        <w:t>"这个数字我没记到页码，我会后查了原文再确认给你。"</w:t>
      </w:r>
      <w:r>
        <w:rPr>
          <w:rFonts w:ascii="Times New Roman" w:hAnsi="Times New Roman" w:eastAsia="宋体"/>
          <w:b w:val="0"/>
          <w:sz w:val="24"/>
        </w:rPr>
        <w:t xml:space="preserve"> —— 好过编一个数。附表上的数能溯源；不在附表上的数，承认没记。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2. </w:t>
      </w:r>
      <w:r>
        <w:rPr>
          <w:rFonts w:ascii="Times New Roman" w:hAnsi="Times New Roman" w:eastAsia="宋体"/>
          <w:b/>
          <w:sz w:val="24"/>
        </w:rPr>
        <w:t>"这一条我知道它在哪一节、结论方向是什么，但具体数值我需要核对原文。"</w:t>
      </w:r>
      <w:r>
        <w:rPr>
          <w:rFonts w:ascii="Times New Roman" w:hAnsi="Times New Roman" w:eastAsia="宋体"/>
          <w:b w:val="0"/>
          <w:sz w:val="24"/>
        </w:rPr>
        <w:t xml:space="preserve"> —— 表明你读的是结构，不是背数字。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3. </w:t>
      </w:r>
      <w:r>
        <w:rPr>
          <w:rFonts w:ascii="Times New Roman" w:hAnsi="Times New Roman" w:eastAsia="宋体"/>
          <w:b/>
          <w:sz w:val="24"/>
        </w:rPr>
        <w:t>"这一点我目前还没有结论，它正好是我在 go/no-go 之后要测的第一个问题。"</w:t>
      </w:r>
      <w:r>
        <w:rPr>
          <w:rFonts w:ascii="Times New Roman" w:hAnsi="Times New Roman" w:eastAsia="宋体"/>
          <w:b w:val="0"/>
          <w:sz w:val="24"/>
        </w:rPr>
        <w:t xml:space="preserve"> —— 把未知转成计划的一部分（尤其适用于局部 pH、溶解速率、S-number）。</w:t>
      </w:r>
    </w:p>
    <w:sectPr>
      <w:headerReference r:id="rId5" w:type="default"/>
      <w:footerReference r:id="rId6" w:type="default"/>
      <w:pgSz w:w="11906" w:h="16838"/>
      <w:pgMar w:top="1440" w:right="1644" w:bottom="1440" w:left="1797" w:header="851" w:footer="851" w:gutter="0"/>
      <w:pgNumType w:start="1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冬青黑体简体中文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5"/>
      <w:pBdr>
        <w:top w:val="single" w:color="auto" w:sz="4" w:space="1"/>
      </w:pBdr>
      <w:jc w:val="right"/>
    </w:pPr>
    <w:sdt>
      <w:sdtPr>
        <w:id w:val="-1"/>
      </w:sdtPr>
      <w:sdtContent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5</w:t>
        </w:r>
        <w: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6"/>
      <w:pBdr>
        <w:bottom w:val="none" w:color="auto" w:sz="0" w:space="0"/>
      </w:pBdr>
      <w:tabs>
        <w:tab w:val="left" w:pos="260"/>
      </w:tabs>
      <w:jc w:val="left"/>
      <w:rPr>
        <w:rFonts w:hint="eastAsia" w:eastAsia="宋体"/>
        <w:lang w:eastAsia="zh-CN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E336078"/>
    <w:multiLevelType w:val="multilevel"/>
    <w:tmpl w:val="0E336078"/>
    <w:lvl w:ilvl="0" w:tentative="0">
      <w:start w:val="1"/>
      <w:numFmt w:val="bullet"/>
      <w:pStyle w:val="43"/>
      <w:lvlText w:val=""/>
      <w:lvlJc w:val="left"/>
      <w:pPr>
        <w:ind w:left="120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1620"/>
        </w:tabs>
        <w:ind w:left="162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2040"/>
        </w:tabs>
        <w:ind w:left="204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460"/>
        </w:tabs>
        <w:ind w:left="246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880"/>
        </w:tabs>
        <w:ind w:left="288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3300"/>
        </w:tabs>
        <w:ind w:left="330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720"/>
        </w:tabs>
        <w:ind w:left="372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4140"/>
        </w:tabs>
        <w:ind w:left="414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560"/>
        </w:tabs>
        <w:ind w:left="4560" w:hanging="420"/>
      </w:pPr>
      <w:rPr>
        <w:rFonts w:hint="default" w:ascii="Wingdings" w:hAnsi="Wingdings"/>
      </w:rPr>
    </w:lvl>
  </w:abstractNum>
  <w:abstractNum w:abstractNumId="1">
    <w:nsid w:val="18262C5A"/>
    <w:multiLevelType w:val="multilevel"/>
    <w:tmpl w:val="18262C5A"/>
    <w:lvl w:ilvl="0" w:tentative="0">
      <w:start w:val="1"/>
      <w:numFmt w:val="decimal"/>
      <w:pStyle w:val="57"/>
      <w:lvlText w:val="步骤%1."/>
      <w:lvlJc w:val="left"/>
      <w:pPr>
        <w:tabs>
          <w:tab w:val="left" w:pos="1276"/>
        </w:tabs>
        <w:ind w:left="1276" w:hanging="879"/>
      </w:pPr>
      <w:rPr>
        <w:rFonts w:hint="default" w:ascii="Times New Roman" w:hAnsi="Times New Roman" w:eastAsia="宋体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napToGrid w:val="0"/>
        <w:vanish w:val="0"/>
        <w:spacing w:val="0"/>
        <w:kern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</w:rPr>
    </w:lvl>
    <w:lvl w:ilvl="1" w:tentative="0">
      <w:start w:val="1"/>
      <w:numFmt w:val="lowerLetter"/>
      <w:lvlText w:val="%2)"/>
      <w:lvlJc w:val="left"/>
      <w:pPr>
        <w:tabs>
          <w:tab w:val="left" w:pos="1469"/>
        </w:tabs>
        <w:ind w:left="1469" w:hanging="42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tabs>
          <w:tab w:val="left" w:pos="1889"/>
        </w:tabs>
        <w:ind w:left="1889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tabs>
          <w:tab w:val="left" w:pos="2309"/>
        </w:tabs>
        <w:ind w:left="2309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729"/>
        </w:tabs>
        <w:ind w:left="2729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3149"/>
        </w:tabs>
        <w:ind w:left="3149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569"/>
        </w:tabs>
        <w:ind w:left="3569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989"/>
        </w:tabs>
        <w:ind w:left="3989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4409"/>
        </w:tabs>
        <w:ind w:left="4409" w:hanging="420"/>
      </w:pPr>
      <w:rPr>
        <w:rFonts w:hint="eastAsia"/>
      </w:rPr>
    </w:lvl>
  </w:abstractNum>
  <w:abstractNum w:abstractNumId="2">
    <w:nsid w:val="3F9E4C1A"/>
    <w:multiLevelType w:val="multilevel"/>
    <w:tmpl w:val="3F9E4C1A"/>
    <w:lvl w:ilvl="0" w:tentative="0">
      <w:start w:val="1"/>
      <w:numFmt w:val="bullet"/>
      <w:pStyle w:val="47"/>
      <w:lvlText w:val=""/>
      <w:lvlJc w:val="left"/>
      <w:pPr>
        <w:tabs>
          <w:tab w:val="left" w:pos="1200"/>
        </w:tabs>
        <w:ind w:left="120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"/>
      <w:lvlJc w:val="left"/>
      <w:pPr>
        <w:tabs>
          <w:tab w:val="left" w:pos="1620"/>
        </w:tabs>
        <w:ind w:left="162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2040"/>
        </w:tabs>
        <w:ind w:left="204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460"/>
        </w:tabs>
        <w:ind w:left="246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880"/>
        </w:tabs>
        <w:ind w:left="288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3300"/>
        </w:tabs>
        <w:ind w:left="330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720"/>
        </w:tabs>
        <w:ind w:left="372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4140"/>
        </w:tabs>
        <w:ind w:left="414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560"/>
        </w:tabs>
        <w:ind w:left="4560" w:hanging="420"/>
      </w:pPr>
      <w:rPr>
        <w:rFonts w:hint="default" w:ascii="Wingdings" w:hAnsi="Wingdings"/>
      </w:rPr>
    </w:lvl>
  </w:abstractNum>
  <w:abstractNum w:abstractNumId="3">
    <w:nsid w:val="561E0D03"/>
    <w:multiLevelType w:val="multilevel"/>
    <w:tmpl w:val="561E0D03"/>
    <w:lvl w:ilvl="0" w:tentative="0">
      <w:start w:val="1"/>
      <w:numFmt w:val="bullet"/>
      <w:pStyle w:val="60"/>
      <w:lvlText w:val=""/>
      <w:lvlJc w:val="left"/>
      <w:pPr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abstractNum w:abstractNumId="4">
    <w:nsid w:val="57E06AFF"/>
    <w:multiLevelType w:val="multilevel"/>
    <w:tmpl w:val="57E06AFF"/>
    <w:lvl w:ilvl="0" w:tentative="0">
      <w:start w:val="1"/>
      <w:numFmt w:val="decimal"/>
      <w:pStyle w:val="2"/>
      <w:lvlText w:val="%1."/>
      <w:lvlJc w:val="left"/>
      <w:pPr>
        <w:ind w:left="420" w:hanging="420"/>
      </w:pPr>
      <w:rPr>
        <w:rFonts w:hint="default" w:ascii="Times New Roman" w:hAnsi="Times New Roman" w:eastAsia="宋体"/>
        <w:b/>
        <w:i w:val="0"/>
        <w:sz w:val="44"/>
      </w:rPr>
    </w:lvl>
    <w:lvl w:ilvl="1" w:tentative="0">
      <w:start w:val="1"/>
      <w:numFmt w:val="decimal"/>
      <w:pStyle w:val="4"/>
      <w:lvlText w:val="%1.%2."/>
      <w:lvlJc w:val="left"/>
      <w:pPr>
        <w:ind w:left="567" w:hanging="567"/>
      </w:pPr>
      <w:rPr>
        <w:rFonts w:hint="default" w:ascii="Times New Roman" w:hAnsi="Times New Roman" w:eastAsia="宋体"/>
        <w:b/>
        <w:i w:val="0"/>
        <w:sz w:val="32"/>
      </w:rPr>
    </w:lvl>
    <w:lvl w:ilvl="2" w:tentative="0">
      <w:start w:val="1"/>
      <w:numFmt w:val="decimal"/>
      <w:pStyle w:val="5"/>
      <w:lvlText w:val="%1.%2.%3."/>
      <w:lvlJc w:val="left"/>
      <w:pPr>
        <w:ind w:left="709" w:hanging="709"/>
      </w:pPr>
      <w:rPr>
        <w:rFonts w:hint="default" w:ascii="Times New Roman" w:hAnsi="Times New Roman" w:eastAsia="宋体"/>
        <w:b/>
        <w:i w:val="0"/>
        <w:sz w:val="30"/>
      </w:rPr>
    </w:lvl>
    <w:lvl w:ilvl="3" w:tentative="0">
      <w:start w:val="1"/>
      <w:numFmt w:val="decimal"/>
      <w:pStyle w:val="6"/>
      <w:lvlText w:val="%1.%2.%3.%4."/>
      <w:lvlJc w:val="left"/>
      <w:pPr>
        <w:ind w:left="851" w:hanging="851"/>
      </w:pPr>
      <w:rPr>
        <w:rFonts w:hint="default" w:ascii="Times New Roman" w:hAnsi="Times New Roman" w:eastAsia="宋体"/>
        <w:b/>
        <w:i w:val="0"/>
        <w:sz w:val="28"/>
      </w:rPr>
    </w:lvl>
    <w:lvl w:ilvl="4" w:tentative="0">
      <w:start w:val="1"/>
      <w:numFmt w:val="decimal"/>
      <w:pStyle w:val="7"/>
      <w:lvlText w:val="%1.%2.%3.%4.%5."/>
      <w:lvlJc w:val="left"/>
      <w:pPr>
        <w:ind w:left="992" w:hanging="992"/>
      </w:pPr>
      <w:rPr>
        <w:rFonts w:hint="eastAsia"/>
      </w:rPr>
    </w:lvl>
    <w:lvl w:ilvl="5" w:tentative="0">
      <w:start w:val="1"/>
      <w:numFmt w:val="decimal"/>
      <w:pStyle w:val="8"/>
      <w:lvlText w:val="%1.%2.%3.%4.%5.%6."/>
      <w:lvlJc w:val="left"/>
      <w:pPr>
        <w:ind w:left="1134" w:hanging="1134"/>
      </w:pPr>
      <w:rPr>
        <w:rFonts w:hint="eastAsia"/>
      </w:rPr>
    </w:lvl>
    <w:lvl w:ilvl="6" w:tentative="0">
      <w:start w:val="1"/>
      <w:numFmt w:val="decimal"/>
      <w:pStyle w:val="9"/>
      <w:lvlText w:val="%1.%2.%3.%4.%5.%6.%7."/>
      <w:lvlJc w:val="left"/>
      <w:pPr>
        <w:ind w:left="1276" w:hanging="1276"/>
      </w:pPr>
      <w:rPr>
        <w:rFonts w:hint="eastAsia"/>
      </w:rPr>
    </w:lvl>
    <w:lvl w:ilvl="7" w:tentative="0">
      <w:start w:val="1"/>
      <w:numFmt w:val="decimal"/>
      <w:pStyle w:val="10"/>
      <w:lvlText w:val="%1.%2.%3.%4.%5.%6.%7.%8."/>
      <w:lvlJc w:val="left"/>
      <w:pPr>
        <w:ind w:left="1418" w:hanging="1418"/>
      </w:pPr>
      <w:rPr>
        <w:rFonts w:hint="eastAsia"/>
      </w:rPr>
    </w:lvl>
    <w:lvl w:ilvl="8" w:tentative="0">
      <w:start w:val="1"/>
      <w:numFmt w:val="decimal"/>
      <w:pStyle w:val="11"/>
      <w:lvlText w:val="%1.%2.%3.%4.%5.%6.%7.%8.%9."/>
      <w:lvlJc w:val="left"/>
      <w:pPr>
        <w:ind w:left="1559" w:hanging="1559"/>
      </w:pPr>
      <w:rPr>
        <w:rFonts w:hint="eastAsia"/>
      </w:r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3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DgzN2I2M2FjNzAxNWM4MDAyYjdlZjZmOWZmMmM2NWMifQ=="/>
  </w:docVars>
  <w:rsids>
    <w:rsidRoot w:val="00E1465D"/>
    <w:rsid w:val="00001098"/>
    <w:rsid w:val="00001EA7"/>
    <w:rsid w:val="00007345"/>
    <w:rsid w:val="00027164"/>
    <w:rsid w:val="000271E1"/>
    <w:rsid w:val="000741A7"/>
    <w:rsid w:val="00075B09"/>
    <w:rsid w:val="00080170"/>
    <w:rsid w:val="00085016"/>
    <w:rsid w:val="00086E86"/>
    <w:rsid w:val="00092073"/>
    <w:rsid w:val="000937CB"/>
    <w:rsid w:val="000B2F55"/>
    <w:rsid w:val="000B4D0B"/>
    <w:rsid w:val="000B6B0E"/>
    <w:rsid w:val="000B6D43"/>
    <w:rsid w:val="000C2498"/>
    <w:rsid w:val="000D2BA8"/>
    <w:rsid w:val="000E39BC"/>
    <w:rsid w:val="000E45B6"/>
    <w:rsid w:val="000F2DD4"/>
    <w:rsid w:val="00112239"/>
    <w:rsid w:val="00114537"/>
    <w:rsid w:val="001152B7"/>
    <w:rsid w:val="00120248"/>
    <w:rsid w:val="001220F5"/>
    <w:rsid w:val="00122B6C"/>
    <w:rsid w:val="00156CEC"/>
    <w:rsid w:val="00162F88"/>
    <w:rsid w:val="001758CF"/>
    <w:rsid w:val="00182BDF"/>
    <w:rsid w:val="001976A1"/>
    <w:rsid w:val="001A60A8"/>
    <w:rsid w:val="001A7855"/>
    <w:rsid w:val="001B4F9F"/>
    <w:rsid w:val="001C5E9B"/>
    <w:rsid w:val="001C75D1"/>
    <w:rsid w:val="001D185D"/>
    <w:rsid w:val="001D5A30"/>
    <w:rsid w:val="001E1371"/>
    <w:rsid w:val="00202256"/>
    <w:rsid w:val="002170AF"/>
    <w:rsid w:val="00217AE3"/>
    <w:rsid w:val="0022051F"/>
    <w:rsid w:val="002219ED"/>
    <w:rsid w:val="00221A6C"/>
    <w:rsid w:val="0022700A"/>
    <w:rsid w:val="00241414"/>
    <w:rsid w:val="0025741B"/>
    <w:rsid w:val="002651E1"/>
    <w:rsid w:val="00283839"/>
    <w:rsid w:val="002908A8"/>
    <w:rsid w:val="002955C9"/>
    <w:rsid w:val="002A0CEE"/>
    <w:rsid w:val="002A7851"/>
    <w:rsid w:val="002B1F3E"/>
    <w:rsid w:val="002C3BEB"/>
    <w:rsid w:val="002D102E"/>
    <w:rsid w:val="002D1179"/>
    <w:rsid w:val="002D1191"/>
    <w:rsid w:val="002D1840"/>
    <w:rsid w:val="002D3528"/>
    <w:rsid w:val="002E23A3"/>
    <w:rsid w:val="002E3E40"/>
    <w:rsid w:val="002F11F0"/>
    <w:rsid w:val="002F7AFA"/>
    <w:rsid w:val="00301A5C"/>
    <w:rsid w:val="0031781C"/>
    <w:rsid w:val="003245E7"/>
    <w:rsid w:val="00326E1C"/>
    <w:rsid w:val="00341280"/>
    <w:rsid w:val="00343FFA"/>
    <w:rsid w:val="00354BF6"/>
    <w:rsid w:val="0037087D"/>
    <w:rsid w:val="0037111D"/>
    <w:rsid w:val="003724B0"/>
    <w:rsid w:val="00375793"/>
    <w:rsid w:val="00375ECD"/>
    <w:rsid w:val="00391BFA"/>
    <w:rsid w:val="00393CFB"/>
    <w:rsid w:val="003A3882"/>
    <w:rsid w:val="003C39F9"/>
    <w:rsid w:val="003C5C0F"/>
    <w:rsid w:val="003D02F0"/>
    <w:rsid w:val="003D1D37"/>
    <w:rsid w:val="003D3FB6"/>
    <w:rsid w:val="003D5CDB"/>
    <w:rsid w:val="003E0D83"/>
    <w:rsid w:val="003E0FBC"/>
    <w:rsid w:val="003E4B7B"/>
    <w:rsid w:val="003F57EA"/>
    <w:rsid w:val="00404500"/>
    <w:rsid w:val="0041574D"/>
    <w:rsid w:val="00420C65"/>
    <w:rsid w:val="004429DD"/>
    <w:rsid w:val="004543CF"/>
    <w:rsid w:val="00456090"/>
    <w:rsid w:val="00473C78"/>
    <w:rsid w:val="00487673"/>
    <w:rsid w:val="004904EB"/>
    <w:rsid w:val="004A4EE5"/>
    <w:rsid w:val="004A7608"/>
    <w:rsid w:val="004B1095"/>
    <w:rsid w:val="004B23E7"/>
    <w:rsid w:val="004B3BC0"/>
    <w:rsid w:val="004C6155"/>
    <w:rsid w:val="004D3EC4"/>
    <w:rsid w:val="004F7417"/>
    <w:rsid w:val="00506386"/>
    <w:rsid w:val="00517490"/>
    <w:rsid w:val="00517FD6"/>
    <w:rsid w:val="005213FD"/>
    <w:rsid w:val="00527614"/>
    <w:rsid w:val="00542087"/>
    <w:rsid w:val="00560242"/>
    <w:rsid w:val="005672AC"/>
    <w:rsid w:val="00580AF6"/>
    <w:rsid w:val="00582CDD"/>
    <w:rsid w:val="005A4AF0"/>
    <w:rsid w:val="005B0F85"/>
    <w:rsid w:val="005C41B4"/>
    <w:rsid w:val="005C4734"/>
    <w:rsid w:val="005F26FE"/>
    <w:rsid w:val="005F41E0"/>
    <w:rsid w:val="00602A90"/>
    <w:rsid w:val="0060593F"/>
    <w:rsid w:val="0060646F"/>
    <w:rsid w:val="00610A08"/>
    <w:rsid w:val="00626386"/>
    <w:rsid w:val="00633A41"/>
    <w:rsid w:val="006340E9"/>
    <w:rsid w:val="00652A76"/>
    <w:rsid w:val="00653C9F"/>
    <w:rsid w:val="006554DD"/>
    <w:rsid w:val="00657BBB"/>
    <w:rsid w:val="0067535A"/>
    <w:rsid w:val="0069195F"/>
    <w:rsid w:val="00692BAB"/>
    <w:rsid w:val="006A031C"/>
    <w:rsid w:val="006A1739"/>
    <w:rsid w:val="006A38A3"/>
    <w:rsid w:val="006B63C7"/>
    <w:rsid w:val="006C4566"/>
    <w:rsid w:val="006D2481"/>
    <w:rsid w:val="006F5071"/>
    <w:rsid w:val="006F67A8"/>
    <w:rsid w:val="00701354"/>
    <w:rsid w:val="00701EDD"/>
    <w:rsid w:val="007023F9"/>
    <w:rsid w:val="007050F9"/>
    <w:rsid w:val="00707AE6"/>
    <w:rsid w:val="007129A7"/>
    <w:rsid w:val="00726465"/>
    <w:rsid w:val="00727823"/>
    <w:rsid w:val="0074380A"/>
    <w:rsid w:val="007505E8"/>
    <w:rsid w:val="0076290B"/>
    <w:rsid w:val="00764A60"/>
    <w:rsid w:val="00774F42"/>
    <w:rsid w:val="0077543F"/>
    <w:rsid w:val="00782439"/>
    <w:rsid w:val="00783765"/>
    <w:rsid w:val="00785248"/>
    <w:rsid w:val="007D69A8"/>
    <w:rsid w:val="007E134C"/>
    <w:rsid w:val="007E2CB0"/>
    <w:rsid w:val="0080796D"/>
    <w:rsid w:val="0081087B"/>
    <w:rsid w:val="008128DC"/>
    <w:rsid w:val="00820265"/>
    <w:rsid w:val="00827C30"/>
    <w:rsid w:val="008340DE"/>
    <w:rsid w:val="008363A4"/>
    <w:rsid w:val="00842109"/>
    <w:rsid w:val="00845B71"/>
    <w:rsid w:val="00845FE6"/>
    <w:rsid w:val="00854267"/>
    <w:rsid w:val="0085614F"/>
    <w:rsid w:val="0086496D"/>
    <w:rsid w:val="00866609"/>
    <w:rsid w:val="00867969"/>
    <w:rsid w:val="008745A8"/>
    <w:rsid w:val="00885C56"/>
    <w:rsid w:val="00887792"/>
    <w:rsid w:val="0089097A"/>
    <w:rsid w:val="00893B00"/>
    <w:rsid w:val="00895587"/>
    <w:rsid w:val="008B0CB9"/>
    <w:rsid w:val="008C4B7D"/>
    <w:rsid w:val="008C6DA8"/>
    <w:rsid w:val="008D2305"/>
    <w:rsid w:val="008E28EB"/>
    <w:rsid w:val="008E6F5B"/>
    <w:rsid w:val="0090303B"/>
    <w:rsid w:val="00907431"/>
    <w:rsid w:val="00914AC3"/>
    <w:rsid w:val="0092367C"/>
    <w:rsid w:val="00931D12"/>
    <w:rsid w:val="00932376"/>
    <w:rsid w:val="0093742E"/>
    <w:rsid w:val="0094008B"/>
    <w:rsid w:val="0094276E"/>
    <w:rsid w:val="0094720E"/>
    <w:rsid w:val="00951078"/>
    <w:rsid w:val="009538D6"/>
    <w:rsid w:val="00956AB8"/>
    <w:rsid w:val="00956FE8"/>
    <w:rsid w:val="009573A9"/>
    <w:rsid w:val="009655AF"/>
    <w:rsid w:val="00970CC9"/>
    <w:rsid w:val="00976FE8"/>
    <w:rsid w:val="00980E83"/>
    <w:rsid w:val="00985053"/>
    <w:rsid w:val="00991F3F"/>
    <w:rsid w:val="009A1042"/>
    <w:rsid w:val="009B3DED"/>
    <w:rsid w:val="009B4EFE"/>
    <w:rsid w:val="009B6598"/>
    <w:rsid w:val="009C1618"/>
    <w:rsid w:val="009C5B28"/>
    <w:rsid w:val="009C7207"/>
    <w:rsid w:val="009D6B51"/>
    <w:rsid w:val="009E0543"/>
    <w:rsid w:val="00A032D0"/>
    <w:rsid w:val="00A058AA"/>
    <w:rsid w:val="00A05999"/>
    <w:rsid w:val="00A07817"/>
    <w:rsid w:val="00A15752"/>
    <w:rsid w:val="00A17402"/>
    <w:rsid w:val="00A30A20"/>
    <w:rsid w:val="00A40675"/>
    <w:rsid w:val="00A42AA3"/>
    <w:rsid w:val="00A4717F"/>
    <w:rsid w:val="00A54416"/>
    <w:rsid w:val="00A67481"/>
    <w:rsid w:val="00A67F11"/>
    <w:rsid w:val="00A72FE9"/>
    <w:rsid w:val="00A767BA"/>
    <w:rsid w:val="00A8030B"/>
    <w:rsid w:val="00A8187A"/>
    <w:rsid w:val="00A83499"/>
    <w:rsid w:val="00A949D4"/>
    <w:rsid w:val="00AA2EB9"/>
    <w:rsid w:val="00AB0BB9"/>
    <w:rsid w:val="00AB0E93"/>
    <w:rsid w:val="00AB1353"/>
    <w:rsid w:val="00AB3B02"/>
    <w:rsid w:val="00AD64F7"/>
    <w:rsid w:val="00AD6B9E"/>
    <w:rsid w:val="00AE31FA"/>
    <w:rsid w:val="00AF288B"/>
    <w:rsid w:val="00B067B9"/>
    <w:rsid w:val="00B07578"/>
    <w:rsid w:val="00B10669"/>
    <w:rsid w:val="00B1125D"/>
    <w:rsid w:val="00B314C0"/>
    <w:rsid w:val="00B3318F"/>
    <w:rsid w:val="00B3475E"/>
    <w:rsid w:val="00B41969"/>
    <w:rsid w:val="00B42F85"/>
    <w:rsid w:val="00B54A51"/>
    <w:rsid w:val="00B552A1"/>
    <w:rsid w:val="00B55385"/>
    <w:rsid w:val="00B562ED"/>
    <w:rsid w:val="00B77E76"/>
    <w:rsid w:val="00B93C18"/>
    <w:rsid w:val="00BB1B9B"/>
    <w:rsid w:val="00BC283B"/>
    <w:rsid w:val="00BC69F1"/>
    <w:rsid w:val="00BD3FB8"/>
    <w:rsid w:val="00BD4C4E"/>
    <w:rsid w:val="00BD7FB7"/>
    <w:rsid w:val="00BE4798"/>
    <w:rsid w:val="00BF12A0"/>
    <w:rsid w:val="00C0013E"/>
    <w:rsid w:val="00C128D9"/>
    <w:rsid w:val="00C15CDA"/>
    <w:rsid w:val="00C24C06"/>
    <w:rsid w:val="00C27187"/>
    <w:rsid w:val="00C27FDD"/>
    <w:rsid w:val="00C333B2"/>
    <w:rsid w:val="00C40CBE"/>
    <w:rsid w:val="00C412AE"/>
    <w:rsid w:val="00C454D1"/>
    <w:rsid w:val="00C51BC7"/>
    <w:rsid w:val="00C5635C"/>
    <w:rsid w:val="00C66DB7"/>
    <w:rsid w:val="00C674AD"/>
    <w:rsid w:val="00C710A2"/>
    <w:rsid w:val="00C731B2"/>
    <w:rsid w:val="00C744CD"/>
    <w:rsid w:val="00C96E75"/>
    <w:rsid w:val="00CA0434"/>
    <w:rsid w:val="00CA1649"/>
    <w:rsid w:val="00CA487B"/>
    <w:rsid w:val="00CB2C45"/>
    <w:rsid w:val="00CC147F"/>
    <w:rsid w:val="00CD19C9"/>
    <w:rsid w:val="00CE6BB5"/>
    <w:rsid w:val="00CF72D8"/>
    <w:rsid w:val="00D0030A"/>
    <w:rsid w:val="00D0236E"/>
    <w:rsid w:val="00D0297C"/>
    <w:rsid w:val="00D113FD"/>
    <w:rsid w:val="00D12B74"/>
    <w:rsid w:val="00D14A87"/>
    <w:rsid w:val="00D155B6"/>
    <w:rsid w:val="00D2147F"/>
    <w:rsid w:val="00D22E3E"/>
    <w:rsid w:val="00D248E8"/>
    <w:rsid w:val="00D316CE"/>
    <w:rsid w:val="00D46378"/>
    <w:rsid w:val="00D5152C"/>
    <w:rsid w:val="00D535C3"/>
    <w:rsid w:val="00D53E60"/>
    <w:rsid w:val="00D64FE9"/>
    <w:rsid w:val="00D67A63"/>
    <w:rsid w:val="00D820F7"/>
    <w:rsid w:val="00D95651"/>
    <w:rsid w:val="00DA3342"/>
    <w:rsid w:val="00DB73AA"/>
    <w:rsid w:val="00DB7B31"/>
    <w:rsid w:val="00DC2577"/>
    <w:rsid w:val="00DC26CD"/>
    <w:rsid w:val="00DD4C3D"/>
    <w:rsid w:val="00DF3072"/>
    <w:rsid w:val="00E02484"/>
    <w:rsid w:val="00E107B5"/>
    <w:rsid w:val="00E12799"/>
    <w:rsid w:val="00E1465D"/>
    <w:rsid w:val="00E32953"/>
    <w:rsid w:val="00E35D09"/>
    <w:rsid w:val="00E42894"/>
    <w:rsid w:val="00E432FA"/>
    <w:rsid w:val="00E5789B"/>
    <w:rsid w:val="00E766A1"/>
    <w:rsid w:val="00E85F5A"/>
    <w:rsid w:val="00E96C7D"/>
    <w:rsid w:val="00EA1B98"/>
    <w:rsid w:val="00EA23B6"/>
    <w:rsid w:val="00EA5CA2"/>
    <w:rsid w:val="00EB6006"/>
    <w:rsid w:val="00EB7A10"/>
    <w:rsid w:val="00EC111B"/>
    <w:rsid w:val="00EC50AA"/>
    <w:rsid w:val="00ED4FF9"/>
    <w:rsid w:val="00ED6470"/>
    <w:rsid w:val="00EE385A"/>
    <w:rsid w:val="00EE5A60"/>
    <w:rsid w:val="00EF0F26"/>
    <w:rsid w:val="00F15B0B"/>
    <w:rsid w:val="00F30BA9"/>
    <w:rsid w:val="00F520A6"/>
    <w:rsid w:val="00F56DE0"/>
    <w:rsid w:val="00F620A1"/>
    <w:rsid w:val="00F82AFD"/>
    <w:rsid w:val="00F82EE2"/>
    <w:rsid w:val="00F8678B"/>
    <w:rsid w:val="00F91127"/>
    <w:rsid w:val="00F93AE4"/>
    <w:rsid w:val="00FB16F1"/>
    <w:rsid w:val="00FB4F4A"/>
    <w:rsid w:val="00FB5904"/>
    <w:rsid w:val="00FB593A"/>
    <w:rsid w:val="00FB6323"/>
    <w:rsid w:val="00FC3294"/>
    <w:rsid w:val="00FC53E2"/>
    <w:rsid w:val="00FD6269"/>
    <w:rsid w:val="00FF1DDA"/>
    <w:rsid w:val="00FF5B05"/>
    <w:rsid w:val="03434F54"/>
    <w:rsid w:val="06163A32"/>
    <w:rsid w:val="067F2A0E"/>
    <w:rsid w:val="06EA1F1A"/>
    <w:rsid w:val="070F5170"/>
    <w:rsid w:val="08D763CA"/>
    <w:rsid w:val="0D4C0A39"/>
    <w:rsid w:val="0FFB1952"/>
    <w:rsid w:val="146723CC"/>
    <w:rsid w:val="147B680C"/>
    <w:rsid w:val="15324901"/>
    <w:rsid w:val="1539797F"/>
    <w:rsid w:val="15EB22B4"/>
    <w:rsid w:val="1639423A"/>
    <w:rsid w:val="17EDC250"/>
    <w:rsid w:val="1B302ADF"/>
    <w:rsid w:val="1B620B59"/>
    <w:rsid w:val="1EBA04C4"/>
    <w:rsid w:val="1F437447"/>
    <w:rsid w:val="1F76D75D"/>
    <w:rsid w:val="233576CE"/>
    <w:rsid w:val="23F530CF"/>
    <w:rsid w:val="26271017"/>
    <w:rsid w:val="26322DEF"/>
    <w:rsid w:val="281A1A02"/>
    <w:rsid w:val="28B503F7"/>
    <w:rsid w:val="28CD2D3C"/>
    <w:rsid w:val="2CD75F5D"/>
    <w:rsid w:val="33F400E2"/>
    <w:rsid w:val="359E69AC"/>
    <w:rsid w:val="38BFF1E2"/>
    <w:rsid w:val="39B4455A"/>
    <w:rsid w:val="3ADF6EFD"/>
    <w:rsid w:val="3B982DE0"/>
    <w:rsid w:val="3BBB21DC"/>
    <w:rsid w:val="3C8C2C72"/>
    <w:rsid w:val="3D2DF7A3"/>
    <w:rsid w:val="406D5E55"/>
    <w:rsid w:val="43A37870"/>
    <w:rsid w:val="479354BC"/>
    <w:rsid w:val="486E535B"/>
    <w:rsid w:val="49FD0DB6"/>
    <w:rsid w:val="534A1D9D"/>
    <w:rsid w:val="55756839"/>
    <w:rsid w:val="5D8C4BE8"/>
    <w:rsid w:val="5FF52DFF"/>
    <w:rsid w:val="60A70F0A"/>
    <w:rsid w:val="6E6D028B"/>
    <w:rsid w:val="6EBBBD9B"/>
    <w:rsid w:val="706C1AC9"/>
    <w:rsid w:val="72DF7849"/>
    <w:rsid w:val="72EC0678"/>
    <w:rsid w:val="7397B993"/>
    <w:rsid w:val="7428006B"/>
    <w:rsid w:val="753B2A97"/>
    <w:rsid w:val="758F617C"/>
    <w:rsid w:val="76741766"/>
    <w:rsid w:val="773DD397"/>
    <w:rsid w:val="77EF4FD5"/>
    <w:rsid w:val="78C14F33"/>
    <w:rsid w:val="7CB27C44"/>
    <w:rsid w:val="7DCB394B"/>
    <w:rsid w:val="7E47317A"/>
    <w:rsid w:val="7F7FF514"/>
    <w:rsid w:val="7FBEA9CB"/>
    <w:rsid w:val="9FF6EBE3"/>
    <w:rsid w:val="B7B719FA"/>
    <w:rsid w:val="BD8BB6B3"/>
    <w:rsid w:val="BEF77B82"/>
    <w:rsid w:val="BF9D4D15"/>
    <w:rsid w:val="CB4D1783"/>
    <w:rsid w:val="CFBBDA92"/>
    <w:rsid w:val="FBFF1F8E"/>
    <w:rsid w:val="FED79344"/>
    <w:rsid w:val="FEF684E1"/>
    <w:rsid w:val="FF17A4B1"/>
    <w:rsid w:val="FFFF1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9" w:semiHidden="0" w:name="heading 5"/>
    <w:lsdException w:qFormat="1" w:uiPriority="9" w:semiHidden="0" w:name="heading 6"/>
    <w:lsdException w:qFormat="1" w:uiPriority="9" w:name="heading 7"/>
    <w:lsdException w:qFormat="1" w:uiPriority="9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iPriority="99" w:semiHidden="0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qFormat="1"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420"/>
      <w:jc w:val="both"/>
    </w:pPr>
    <w:rPr>
      <w:rFonts w:ascii="Times New Roman" w:hAnsi="Times New Roman" w:eastAsia="宋体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3"/>
    <w:link w:val="32"/>
    <w:qFormat/>
    <w:uiPriority w:val="0"/>
    <w:pPr>
      <w:keepNext/>
      <w:keepLines/>
      <w:pageBreakBefore/>
      <w:numPr>
        <w:ilvl w:val="0"/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4">
    <w:name w:val="heading 2"/>
    <w:basedOn w:val="2"/>
    <w:next w:val="3"/>
    <w:link w:val="33"/>
    <w:unhideWhenUsed/>
    <w:qFormat/>
    <w:uiPriority w:val="0"/>
    <w:pPr>
      <w:numPr>
        <w:ilvl w:val="1"/>
      </w:numPr>
      <w:spacing w:before="260" w:after="260" w:line="416" w:lineRule="auto"/>
      <w:outlineLvl w:val="1"/>
    </w:pPr>
    <w:rPr>
      <w:rFonts w:cstheme="majorBidi"/>
      <w:sz w:val="32"/>
      <w:szCs w:val="32"/>
    </w:rPr>
  </w:style>
  <w:style w:type="paragraph" w:styleId="5">
    <w:name w:val="heading 3"/>
    <w:basedOn w:val="1"/>
    <w:next w:val="1"/>
    <w:link w:val="34"/>
    <w:unhideWhenUsed/>
    <w:qFormat/>
    <w:uiPriority w:val="0"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b/>
      <w:bCs/>
      <w:sz w:val="30"/>
      <w:szCs w:val="32"/>
    </w:rPr>
  </w:style>
  <w:style w:type="paragraph" w:styleId="6">
    <w:name w:val="heading 4"/>
    <w:basedOn w:val="1"/>
    <w:next w:val="1"/>
    <w:link w:val="35"/>
    <w:unhideWhenUsed/>
    <w:qFormat/>
    <w:uiPriority w:val="0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cstheme="majorBidi"/>
      <w:b/>
      <w:bCs/>
      <w:sz w:val="28"/>
      <w:szCs w:val="28"/>
    </w:rPr>
  </w:style>
  <w:style w:type="paragraph" w:styleId="7">
    <w:name w:val="heading 5"/>
    <w:basedOn w:val="1"/>
    <w:next w:val="1"/>
    <w:link w:val="36"/>
    <w:unhideWhenUsed/>
    <w:qFormat/>
    <w:uiPriority w:val="9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8">
    <w:name w:val="heading 6"/>
    <w:basedOn w:val="1"/>
    <w:next w:val="1"/>
    <w:link w:val="37"/>
    <w:unhideWhenUsed/>
    <w:qFormat/>
    <w:uiPriority w:val="9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Theme="majorHAnsi" w:hAnsiTheme="majorHAnsi" w:cstheme="majorBidi"/>
      <w:b/>
      <w:bCs/>
      <w:sz w:val="24"/>
      <w:szCs w:val="24"/>
    </w:rPr>
  </w:style>
  <w:style w:type="paragraph" w:styleId="9">
    <w:name w:val="heading 7"/>
    <w:basedOn w:val="1"/>
    <w:next w:val="1"/>
    <w:link w:val="38"/>
    <w:semiHidden/>
    <w:unhideWhenUsed/>
    <w:qFormat/>
    <w:uiPriority w:val="9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10">
    <w:name w:val="heading 8"/>
    <w:basedOn w:val="1"/>
    <w:next w:val="1"/>
    <w:link w:val="39"/>
    <w:semiHidden/>
    <w:unhideWhenUsed/>
    <w:qFormat/>
    <w:uiPriority w:val="9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Theme="majorHAnsi" w:hAnsiTheme="majorHAnsi" w:eastAsiaTheme="majorEastAsia" w:cstheme="majorBidi"/>
      <w:sz w:val="24"/>
      <w:szCs w:val="24"/>
    </w:rPr>
  </w:style>
  <w:style w:type="paragraph" w:styleId="11">
    <w:name w:val="heading 9"/>
    <w:basedOn w:val="1"/>
    <w:next w:val="1"/>
    <w:link w:val="40"/>
    <w:unhideWhenUsed/>
    <w:qFormat/>
    <w:uiPriority w:val="9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Theme="majorHAnsi" w:hAnsiTheme="majorHAnsi" w:eastAsiaTheme="majorEastAsia" w:cstheme="majorBidi"/>
      <w:szCs w:val="21"/>
    </w:rPr>
  </w:style>
  <w:style w:type="character" w:default="1" w:styleId="23">
    <w:name w:val="Default Paragraph Font"/>
    <w:semiHidden/>
    <w:unhideWhenUsed/>
    <w:uiPriority w:val="1"/>
  </w:style>
  <w:style w:type="table" w:default="1" w:styleId="2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Indent"/>
    <w:basedOn w:val="1"/>
    <w:unhideWhenUsed/>
    <w:qFormat/>
    <w:uiPriority w:val="99"/>
    <w:pPr>
      <w:ind w:firstLine="200" w:firstLineChars="200"/>
    </w:pPr>
  </w:style>
  <w:style w:type="paragraph" w:styleId="12">
    <w:name w:val="annotation text"/>
    <w:basedOn w:val="1"/>
    <w:link w:val="63"/>
    <w:semiHidden/>
    <w:unhideWhenUsed/>
    <w:qFormat/>
    <w:uiPriority w:val="99"/>
    <w:pPr>
      <w:jc w:val="left"/>
    </w:pPr>
  </w:style>
  <w:style w:type="paragraph" w:styleId="13">
    <w:name w:val="toc 3"/>
    <w:basedOn w:val="1"/>
    <w:next w:val="1"/>
    <w:unhideWhenUsed/>
    <w:qFormat/>
    <w:uiPriority w:val="39"/>
    <w:pPr>
      <w:ind w:left="840" w:leftChars="400"/>
    </w:pPr>
  </w:style>
  <w:style w:type="paragraph" w:styleId="14">
    <w:name w:val="Balloon Text"/>
    <w:basedOn w:val="1"/>
    <w:link w:val="51"/>
    <w:semiHidden/>
    <w:unhideWhenUsed/>
    <w:qFormat/>
    <w:uiPriority w:val="99"/>
    <w:pPr>
      <w:spacing w:line="240" w:lineRule="auto"/>
    </w:pPr>
    <w:rPr>
      <w:sz w:val="18"/>
      <w:szCs w:val="18"/>
    </w:rPr>
  </w:style>
  <w:style w:type="paragraph" w:styleId="15">
    <w:name w:val="footer"/>
    <w:basedOn w:val="1"/>
    <w:link w:val="2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6">
    <w:name w:val="header"/>
    <w:basedOn w:val="1"/>
    <w:link w:val="2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7">
    <w:name w:val="toc 1"/>
    <w:basedOn w:val="1"/>
    <w:next w:val="1"/>
    <w:unhideWhenUsed/>
    <w:qFormat/>
    <w:uiPriority w:val="39"/>
  </w:style>
  <w:style w:type="paragraph" w:styleId="18">
    <w:name w:val="toc 2"/>
    <w:basedOn w:val="1"/>
    <w:next w:val="1"/>
    <w:unhideWhenUsed/>
    <w:qFormat/>
    <w:uiPriority w:val="39"/>
    <w:pPr>
      <w:ind w:left="420" w:leftChars="200"/>
    </w:pPr>
  </w:style>
  <w:style w:type="paragraph" w:styleId="19">
    <w:name w:val="annotation subject"/>
    <w:basedOn w:val="12"/>
    <w:next w:val="12"/>
    <w:link w:val="64"/>
    <w:semiHidden/>
    <w:unhideWhenUsed/>
    <w:qFormat/>
    <w:uiPriority w:val="99"/>
    <w:rPr>
      <w:b/>
      <w:bCs/>
    </w:rPr>
  </w:style>
  <w:style w:type="table" w:styleId="21">
    <w:name w:val="Table Grid"/>
    <w:basedOn w:val="20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22">
    <w:name w:val="Table Professional"/>
    <w:basedOn w:val="20"/>
    <w:semiHidden/>
    <w:unhideWhenUsed/>
    <w:qFormat/>
    <w:uiPriority w:val="99"/>
    <w:pPr>
      <w:widowControl w:val="0"/>
      <w:spacing w:line="360" w:lineRule="auto"/>
      <w:ind w:firstLine="42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character" w:styleId="24">
    <w:name w:val="FollowedHyperlink"/>
    <w:basedOn w:val="23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25">
    <w:name w:val="Hyperlink"/>
    <w:basedOn w:val="23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26">
    <w:name w:val="annotation reference"/>
    <w:basedOn w:val="23"/>
    <w:semiHidden/>
    <w:unhideWhenUsed/>
    <w:qFormat/>
    <w:uiPriority w:val="99"/>
    <w:rPr>
      <w:sz w:val="21"/>
      <w:szCs w:val="21"/>
    </w:rPr>
  </w:style>
  <w:style w:type="character" w:customStyle="1" w:styleId="27">
    <w:name w:val="页眉 字符"/>
    <w:basedOn w:val="23"/>
    <w:link w:val="16"/>
    <w:qFormat/>
    <w:uiPriority w:val="99"/>
    <w:rPr>
      <w:sz w:val="18"/>
      <w:szCs w:val="18"/>
    </w:rPr>
  </w:style>
  <w:style w:type="character" w:customStyle="1" w:styleId="28">
    <w:name w:val="页脚 字符"/>
    <w:basedOn w:val="23"/>
    <w:link w:val="15"/>
    <w:qFormat/>
    <w:uiPriority w:val="99"/>
    <w:rPr>
      <w:sz w:val="18"/>
      <w:szCs w:val="18"/>
    </w:rPr>
  </w:style>
  <w:style w:type="paragraph" w:customStyle="1" w:styleId="29">
    <w:name w:val="页面标题"/>
    <w:basedOn w:val="1"/>
    <w:next w:val="1"/>
    <w:qFormat/>
    <w:uiPriority w:val="0"/>
    <w:pPr>
      <w:widowControl/>
      <w:ind w:firstLine="0"/>
      <w:jc w:val="center"/>
    </w:pPr>
    <w:rPr>
      <w:rFonts w:ascii="宋体" w:hAnsi="宋体" w:cs="宋体"/>
      <w:b/>
      <w:bCs/>
      <w:kern w:val="0"/>
      <w:sz w:val="44"/>
      <w:szCs w:val="44"/>
    </w:rPr>
  </w:style>
  <w:style w:type="paragraph" w:customStyle="1" w:styleId="30">
    <w:name w:val="表头"/>
    <w:basedOn w:val="1"/>
    <w:qFormat/>
    <w:uiPriority w:val="0"/>
    <w:pPr>
      <w:widowControl/>
      <w:spacing w:line="320" w:lineRule="exact"/>
      <w:jc w:val="center"/>
    </w:pPr>
    <w:rPr>
      <w:rFonts w:cs="Times New Roman"/>
      <w:b/>
      <w:bCs/>
      <w:snapToGrid w:val="0"/>
      <w:color w:val="FFFFFF" w:themeColor="background1"/>
      <w:kern w:val="0"/>
      <w:szCs w:val="18"/>
      <w14:textFill>
        <w14:solidFill>
          <w14:schemeClr w14:val="bg1"/>
        </w14:solidFill>
      </w14:textFill>
    </w:rPr>
  </w:style>
  <w:style w:type="paragraph" w:customStyle="1" w:styleId="31">
    <w:name w:val="表内容"/>
    <w:basedOn w:val="1"/>
    <w:qFormat/>
    <w:uiPriority w:val="0"/>
    <w:pPr>
      <w:widowControl/>
      <w:spacing w:line="240" w:lineRule="auto"/>
      <w:ind w:firstLine="0"/>
      <w:jc w:val="left"/>
    </w:pPr>
    <w:rPr>
      <w:rFonts w:cs="Times New Roman"/>
      <w:snapToGrid w:val="0"/>
      <w:kern w:val="0"/>
      <w:szCs w:val="24"/>
    </w:rPr>
  </w:style>
  <w:style w:type="character" w:customStyle="1" w:styleId="32">
    <w:name w:val="标题 1 字符"/>
    <w:basedOn w:val="23"/>
    <w:link w:val="2"/>
    <w:qFormat/>
    <w:uiPriority w:val="0"/>
    <w:rPr>
      <w:rFonts w:ascii="Times New Roman" w:hAnsi="Times New Roman" w:eastAsia="宋体"/>
      <w:b/>
      <w:bCs/>
      <w:kern w:val="44"/>
      <w:sz w:val="44"/>
      <w:szCs w:val="44"/>
    </w:rPr>
  </w:style>
  <w:style w:type="character" w:customStyle="1" w:styleId="33">
    <w:name w:val="标题 2 字符"/>
    <w:basedOn w:val="23"/>
    <w:link w:val="4"/>
    <w:qFormat/>
    <w:uiPriority w:val="0"/>
    <w:rPr>
      <w:rFonts w:ascii="Times New Roman" w:hAnsi="Times New Roman" w:eastAsia="宋体" w:cstheme="majorBidi"/>
      <w:b/>
      <w:bCs/>
      <w:sz w:val="32"/>
      <w:szCs w:val="32"/>
    </w:rPr>
  </w:style>
  <w:style w:type="character" w:customStyle="1" w:styleId="34">
    <w:name w:val="标题 3 字符"/>
    <w:basedOn w:val="23"/>
    <w:link w:val="5"/>
    <w:qFormat/>
    <w:uiPriority w:val="9"/>
    <w:rPr>
      <w:rFonts w:eastAsia="宋体"/>
      <w:b/>
      <w:bCs/>
      <w:sz w:val="30"/>
      <w:szCs w:val="32"/>
    </w:rPr>
  </w:style>
  <w:style w:type="character" w:customStyle="1" w:styleId="35">
    <w:name w:val="标题 4 字符"/>
    <w:basedOn w:val="23"/>
    <w:link w:val="6"/>
    <w:qFormat/>
    <w:uiPriority w:val="0"/>
    <w:rPr>
      <w:rFonts w:ascii="Times New Roman" w:hAnsi="Times New Roman" w:eastAsia="宋体" w:cstheme="majorBidi"/>
      <w:b/>
      <w:bCs/>
      <w:sz w:val="28"/>
      <w:szCs w:val="28"/>
    </w:rPr>
  </w:style>
  <w:style w:type="character" w:customStyle="1" w:styleId="36">
    <w:name w:val="标题 5 字符"/>
    <w:basedOn w:val="23"/>
    <w:link w:val="7"/>
    <w:qFormat/>
    <w:uiPriority w:val="9"/>
    <w:rPr>
      <w:rFonts w:eastAsia="宋体"/>
      <w:b/>
      <w:bCs/>
      <w:sz w:val="28"/>
      <w:szCs w:val="28"/>
    </w:rPr>
  </w:style>
  <w:style w:type="character" w:customStyle="1" w:styleId="37">
    <w:name w:val="标题 6 字符"/>
    <w:basedOn w:val="23"/>
    <w:link w:val="8"/>
    <w:qFormat/>
    <w:uiPriority w:val="9"/>
    <w:rPr>
      <w:rFonts w:eastAsia="宋体" w:asciiTheme="majorHAnsi" w:hAnsiTheme="majorHAnsi" w:cstheme="majorBidi"/>
      <w:b/>
      <w:bCs/>
      <w:sz w:val="24"/>
      <w:szCs w:val="24"/>
    </w:rPr>
  </w:style>
  <w:style w:type="character" w:customStyle="1" w:styleId="38">
    <w:name w:val="标题 7 字符"/>
    <w:basedOn w:val="23"/>
    <w:link w:val="9"/>
    <w:semiHidden/>
    <w:qFormat/>
    <w:uiPriority w:val="9"/>
    <w:rPr>
      <w:b/>
      <w:bCs/>
      <w:sz w:val="24"/>
      <w:szCs w:val="24"/>
    </w:rPr>
  </w:style>
  <w:style w:type="character" w:customStyle="1" w:styleId="39">
    <w:name w:val="标题 8 字符"/>
    <w:basedOn w:val="23"/>
    <w:link w:val="10"/>
    <w:semiHidden/>
    <w:qFormat/>
    <w:uiPriority w:val="9"/>
    <w:rPr>
      <w:rFonts w:asciiTheme="majorHAnsi" w:hAnsiTheme="majorHAnsi" w:eastAsiaTheme="majorEastAsia" w:cstheme="majorBidi"/>
      <w:sz w:val="24"/>
      <w:szCs w:val="24"/>
    </w:rPr>
  </w:style>
  <w:style w:type="character" w:customStyle="1" w:styleId="40">
    <w:name w:val="标题 9 字符"/>
    <w:basedOn w:val="23"/>
    <w:link w:val="11"/>
    <w:qFormat/>
    <w:uiPriority w:val="9"/>
    <w:rPr>
      <w:rFonts w:asciiTheme="majorHAnsi" w:hAnsiTheme="majorHAnsi" w:eastAsiaTheme="majorEastAsia" w:cstheme="majorBidi"/>
      <w:szCs w:val="21"/>
    </w:rPr>
  </w:style>
  <w:style w:type="paragraph" w:styleId="41">
    <w:name w:val="List Paragraph"/>
    <w:basedOn w:val="1"/>
    <w:qFormat/>
    <w:uiPriority w:val="34"/>
    <w:pPr>
      <w:ind w:firstLine="200" w:firstLineChars="200"/>
    </w:pPr>
  </w:style>
  <w:style w:type="character" w:customStyle="1" w:styleId="42">
    <w:name w:val="菜单命令"/>
    <w:qFormat/>
    <w:uiPriority w:val="0"/>
    <w:rPr>
      <w:rFonts w:ascii="Times New Roman" w:hAnsi="Times New Roman" w:eastAsia="宋体"/>
      <w:b/>
      <w:bCs/>
      <w:sz w:val="21"/>
      <w:szCs w:val="21"/>
    </w:rPr>
  </w:style>
  <w:style w:type="paragraph" w:customStyle="1" w:styleId="43">
    <w:name w:val="项目列举2级"/>
    <w:basedOn w:val="1"/>
    <w:qFormat/>
    <w:uiPriority w:val="0"/>
    <w:pPr>
      <w:widowControl/>
      <w:numPr>
        <w:ilvl w:val="0"/>
        <w:numId w:val="2"/>
      </w:numPr>
      <w:jc w:val="left"/>
    </w:pPr>
    <w:rPr>
      <w:rFonts w:cs="宋体"/>
      <w:kern w:val="0"/>
      <w:szCs w:val="21"/>
    </w:rPr>
  </w:style>
  <w:style w:type="character" w:customStyle="1" w:styleId="44">
    <w:name w:val="命令参数"/>
    <w:qFormat/>
    <w:uiPriority w:val="0"/>
    <w:rPr>
      <w:rFonts w:ascii="Times New Roman" w:hAnsi="Times New Roman" w:eastAsia="宋体"/>
      <w:sz w:val="21"/>
      <w:szCs w:val="21"/>
    </w:rPr>
  </w:style>
  <w:style w:type="character" w:customStyle="1" w:styleId="45">
    <w:name w:val="命令参数斜体"/>
    <w:qFormat/>
    <w:uiPriority w:val="0"/>
    <w:rPr>
      <w:rFonts w:ascii="Times New Roman" w:hAnsi="Times New Roman" w:eastAsia="宋体"/>
      <w:i/>
      <w:sz w:val="21"/>
    </w:rPr>
  </w:style>
  <w:style w:type="character" w:customStyle="1" w:styleId="46">
    <w:name w:val="命令名和动作"/>
    <w:qFormat/>
    <w:uiPriority w:val="0"/>
    <w:rPr>
      <w:rFonts w:ascii="Times New Roman" w:hAnsi="Times New Roman" w:eastAsia="黑体"/>
      <w:b/>
      <w:sz w:val="21"/>
      <w:szCs w:val="21"/>
    </w:rPr>
  </w:style>
  <w:style w:type="paragraph" w:customStyle="1" w:styleId="47">
    <w:name w:val="章节项目"/>
    <w:basedOn w:val="1"/>
    <w:qFormat/>
    <w:uiPriority w:val="0"/>
    <w:pPr>
      <w:widowControl/>
      <w:numPr>
        <w:ilvl w:val="0"/>
        <w:numId w:val="3"/>
      </w:numPr>
      <w:jc w:val="left"/>
    </w:pPr>
    <w:rPr>
      <w:rFonts w:cs="宋体"/>
      <w:kern w:val="0"/>
      <w:szCs w:val="21"/>
    </w:rPr>
  </w:style>
  <w:style w:type="paragraph" w:customStyle="1" w:styleId="48">
    <w:name w:val="步骤下图片"/>
    <w:basedOn w:val="1"/>
    <w:qFormat/>
    <w:uiPriority w:val="0"/>
    <w:pPr>
      <w:ind w:left="1276" w:firstLine="0"/>
    </w:pPr>
  </w:style>
  <w:style w:type="paragraph" w:customStyle="1" w:styleId="49">
    <w:name w:val="代码示例"/>
    <w:basedOn w:val="1"/>
    <w:link w:val="50"/>
    <w:qFormat/>
    <w:uiPriority w:val="0"/>
    <w:pPr>
      <w:spacing w:line="240" w:lineRule="auto"/>
      <w:ind w:firstLine="0"/>
    </w:pPr>
    <w:rPr>
      <w:rFonts w:ascii="Courier New" w:hAnsi="Courier New"/>
      <w:color w:val="000000" w:themeColor="text1"/>
      <w:sz w:val="20"/>
      <w:szCs w:val="21"/>
      <w14:textFill>
        <w14:solidFill>
          <w14:schemeClr w14:val="tx1"/>
        </w14:solidFill>
      </w14:textFill>
    </w:rPr>
  </w:style>
  <w:style w:type="character" w:customStyle="1" w:styleId="50">
    <w:name w:val="代码示例 Char"/>
    <w:basedOn w:val="23"/>
    <w:link w:val="49"/>
    <w:qFormat/>
    <w:uiPriority w:val="0"/>
    <w:rPr>
      <w:rFonts w:ascii="Courier New" w:hAnsi="Courier New" w:eastAsia="宋体"/>
      <w:color w:val="000000" w:themeColor="text1"/>
      <w:sz w:val="20"/>
      <w:szCs w:val="21"/>
      <w14:textFill>
        <w14:solidFill>
          <w14:schemeClr w14:val="tx1"/>
        </w14:solidFill>
      </w14:textFill>
    </w:rPr>
  </w:style>
  <w:style w:type="character" w:customStyle="1" w:styleId="51">
    <w:name w:val="批注框文本 字符"/>
    <w:basedOn w:val="23"/>
    <w:link w:val="14"/>
    <w:semiHidden/>
    <w:qFormat/>
    <w:uiPriority w:val="99"/>
    <w:rPr>
      <w:rFonts w:eastAsia="宋体"/>
      <w:sz w:val="18"/>
      <w:szCs w:val="18"/>
    </w:rPr>
  </w:style>
  <w:style w:type="paragraph" w:customStyle="1" w:styleId="52">
    <w:name w:val="1级无序号"/>
    <w:basedOn w:val="2"/>
    <w:next w:val="1"/>
    <w:qFormat/>
    <w:uiPriority w:val="0"/>
    <w:pPr>
      <w:numPr>
        <w:numId w:val="0"/>
      </w:numPr>
    </w:pPr>
  </w:style>
  <w:style w:type="paragraph" w:customStyle="1" w:styleId="53">
    <w:name w:val="2级无序号"/>
    <w:basedOn w:val="4"/>
    <w:next w:val="1"/>
    <w:qFormat/>
    <w:uiPriority w:val="0"/>
    <w:pPr>
      <w:numPr>
        <w:ilvl w:val="0"/>
        <w:numId w:val="0"/>
      </w:numPr>
    </w:pPr>
  </w:style>
  <w:style w:type="paragraph" w:customStyle="1" w:styleId="54">
    <w:name w:val="TOC 标题1"/>
    <w:basedOn w:val="2"/>
    <w:next w:val="1"/>
    <w:unhideWhenUsed/>
    <w:qFormat/>
    <w:uiPriority w:val="39"/>
    <w:pPr>
      <w:numPr>
        <w:numId w:val="0"/>
      </w:numPr>
      <w:spacing w:before="240" w:after="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2E75B6" w:themeColor="accent1" w:themeShade="BF"/>
      <w:kern w:val="0"/>
      <w:sz w:val="32"/>
      <w:szCs w:val="32"/>
    </w:rPr>
  </w:style>
  <w:style w:type="paragraph" w:customStyle="1" w:styleId="55">
    <w:name w:val="引导语（仅适用于制作模板）"/>
    <w:basedOn w:val="1"/>
    <w:qFormat/>
    <w:uiPriority w:val="0"/>
    <w:pPr>
      <w:ind w:firstLine="200" w:firstLineChars="200"/>
    </w:pPr>
    <w:rPr>
      <w:i/>
      <w:color w:val="7F7F7F" w:themeColor="background1" w:themeShade="80"/>
    </w:rPr>
  </w:style>
  <w:style w:type="table" w:customStyle="1" w:styleId="56">
    <w:name w:val="Table"/>
    <w:basedOn w:val="22"/>
    <w:qFormat/>
    <w:uiPriority w:val="0"/>
    <w:pPr>
      <w:spacing w:line="240" w:lineRule="auto"/>
      <w:ind w:firstLine="0"/>
      <w:jc w:val="left"/>
    </w:pPr>
    <w:rPr>
      <w:rFonts w:ascii="Times New Roman" w:hAnsi="Times New Roman" w:eastAsia="宋体" w:cs="Arial"/>
    </w:rPr>
    <w:tblPr/>
    <w:trPr>
      <w:cantSplit/>
    </w:trPr>
    <w:tcPr>
      <w:shd w:val="clear" w:color="auto" w:fill="auto"/>
    </w:tcPr>
    <w:tblStylePr w:type="firstRow">
      <w:rPr>
        <w:b w:val="0"/>
        <w:bCs w:val="0"/>
        <w:i w:val="0"/>
        <w:iCs w:val="0"/>
        <w:color w:val="auto"/>
        <w:sz w:val="20"/>
        <w:szCs w:val="20"/>
      </w:rPr>
      <w:tcPr>
        <w:tc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sz="6" w:space="0"/>
          <w:insideV w:val="single" w:sz="6" w:space="0"/>
          <w:tl2br w:val="nil"/>
          <w:tr2bl w:val="nil"/>
        </w:tcBorders>
        <w:shd w:val="clear" w:color="auto" w:fill="D9D9D9"/>
      </w:tcPr>
    </w:tblStylePr>
  </w:style>
  <w:style w:type="paragraph" w:customStyle="1" w:styleId="57">
    <w:name w:val="Step"/>
    <w:qFormat/>
    <w:uiPriority w:val="0"/>
    <w:pPr>
      <w:numPr>
        <w:ilvl w:val="0"/>
        <w:numId w:val="4"/>
      </w:numPr>
      <w:tabs>
        <w:tab w:val="left" w:pos="1701"/>
      </w:tabs>
      <w:topLinePunct/>
      <w:spacing w:line="360" w:lineRule="auto"/>
    </w:pPr>
    <w:rPr>
      <w:rFonts w:ascii="Times New Roman" w:hAnsi="Times New Roman" w:eastAsia="宋体" w:cstheme="minorBidi"/>
      <w:snapToGrid w:val="0"/>
      <w:sz w:val="21"/>
      <w:szCs w:val="22"/>
      <w:lang w:val="en-US" w:eastAsia="zh-CN" w:bidi="ar-SA"/>
    </w:rPr>
  </w:style>
  <w:style w:type="paragraph" w:customStyle="1" w:styleId="58">
    <w:name w:val="标题五"/>
    <w:basedOn w:val="1"/>
    <w:next w:val="1"/>
    <w:qFormat/>
    <w:uiPriority w:val="0"/>
    <w:pPr>
      <w:spacing w:before="200" w:after="200" w:line="240" w:lineRule="auto"/>
      <w:ind w:firstLine="0"/>
      <w:outlineLvl w:val="4"/>
    </w:pPr>
    <w:rPr>
      <w:b/>
      <w:sz w:val="24"/>
    </w:rPr>
  </w:style>
  <w:style w:type="paragraph" w:customStyle="1" w:styleId="59">
    <w:name w:val="正文下图片"/>
    <w:basedOn w:val="1"/>
    <w:next w:val="1"/>
    <w:qFormat/>
    <w:uiPriority w:val="0"/>
    <w:pPr>
      <w:ind w:left="420" w:firstLine="0"/>
    </w:pPr>
    <w:rPr>
      <w:color w:val="FF0000"/>
    </w:rPr>
  </w:style>
  <w:style w:type="paragraph" w:customStyle="1" w:styleId="60">
    <w:name w:val="项目列举1级"/>
    <w:qFormat/>
    <w:uiPriority w:val="0"/>
    <w:pPr>
      <w:numPr>
        <w:ilvl w:val="0"/>
        <w:numId w:val="5"/>
      </w:numPr>
      <w:spacing w:before="50" w:beforeLines="50" w:after="50" w:afterLines="50"/>
      <w:ind w:left="834" w:hanging="414"/>
      <w:jc w:val="both"/>
    </w:pPr>
    <w:rPr>
      <w:rFonts w:ascii="Times New Roman" w:hAnsi="Times New Roman" w:eastAsia="宋体" w:cstheme="minorBidi"/>
      <w:b/>
      <w:kern w:val="2"/>
      <w:sz w:val="24"/>
      <w:szCs w:val="22"/>
      <w:lang w:val="en-US" w:eastAsia="zh-CN" w:bidi="ar-SA"/>
    </w:rPr>
  </w:style>
  <w:style w:type="paragraph" w:customStyle="1" w:styleId="61">
    <w:name w:val="项目列举下图片"/>
    <w:basedOn w:val="1"/>
    <w:qFormat/>
    <w:uiPriority w:val="0"/>
    <w:pPr>
      <w:ind w:left="868" w:firstLine="0"/>
    </w:pPr>
    <w:rPr>
      <w:color w:val="FF0000"/>
    </w:rPr>
  </w:style>
  <w:style w:type="paragraph" w:customStyle="1" w:styleId="62">
    <w:name w:val="提示说明"/>
    <w:qFormat/>
    <w:uiPriority w:val="0"/>
    <w:rPr>
      <w:rFonts w:ascii="Times New Roman" w:hAnsi="Times New Roman" w:eastAsia="宋体" w:cstheme="minorBidi"/>
      <w:kern w:val="2"/>
      <w:sz w:val="18"/>
      <w:szCs w:val="22"/>
      <w:lang w:val="en-US" w:eastAsia="zh-CN" w:bidi="ar-SA"/>
    </w:rPr>
  </w:style>
  <w:style w:type="character" w:customStyle="1" w:styleId="63">
    <w:name w:val="批注文字 字符"/>
    <w:basedOn w:val="23"/>
    <w:link w:val="12"/>
    <w:semiHidden/>
    <w:qFormat/>
    <w:uiPriority w:val="99"/>
    <w:rPr>
      <w:rFonts w:ascii="Times New Roman" w:hAnsi="Times New Roman" w:eastAsia="宋体"/>
    </w:rPr>
  </w:style>
  <w:style w:type="character" w:customStyle="1" w:styleId="64">
    <w:name w:val="批注主题 字符"/>
    <w:basedOn w:val="63"/>
    <w:link w:val="19"/>
    <w:semiHidden/>
    <w:qFormat/>
    <w:uiPriority w:val="99"/>
    <w:rPr>
      <w:rFonts w:ascii="Times New Roman" w:hAnsi="Times New Roman" w:eastAsia="宋体"/>
      <w:b/>
      <w:bCs/>
    </w:rPr>
  </w:style>
  <w:style w:type="paragraph" w:customStyle="1" w:styleId="65">
    <w:name w:val="附录"/>
    <w:basedOn w:val="52"/>
    <w:next w:val="1"/>
    <w:qFormat/>
    <w:uiPriority w:val="0"/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360政企</Company>
  <Pages>23</Pages>
  <Words>804</Words>
  <Characters>836</Characters>
  <Lines>6</Lines>
  <Paragraphs>1</Paragraphs>
  <TotalTime>6</TotalTime>
  <ScaleCrop>false</ScaleCrop>
  <LinksUpToDate>false</LinksUpToDate>
  <CharactersWithSpaces>841</CharactersWithSpaces>
  <Application>WPS Office_6.6.1.8808_F1E327BC-269C-435d-A152-05C5408002CA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2023-05-25T16:44:00Z</dcterms:created>
  <dc:creator>liguihai</dc:creator>
  <cp:lastModifiedBy>Wayne_H</cp:lastModifiedBy>
  <cp:lastPrinted>2020-04-30T17:33:00Z</cp:lastPrinted>
  <dcterms:modified xsi:type="dcterms:W3CDTF">2026-02-27T11:08:59Z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2052-6.6.1.8808</vt:lpwstr>
  </property>
  <property fmtid="{D5CDD505-2E9C-101B-9397-08002B2CF9AE}" pid="3" name="ICV">
    <vt:lpwstr>F4DF97B130D04BE79D2D885DCEF7FCFA_12</vt:lpwstr>
  </property>
</Properties>
</file>