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文献精读报告：Polymer-Based Solid-State Electrolytes for High-Energy-Density Lithium-Ion Batteries – Review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Zotero 条目：Polymer-Based Solid-State Electrolytes for High-Energy-Density Lithium-Ion Batteries – Review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期刊：Advanced Energy Materials, 2023, 13, 2301746（DOI: 10.1002/aenm.202301746）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作者：Xiao Lu, Yumei Wang, Xiaoyu Xu, Binggong Yan, Tian Wu, Li Lu（X.L. 与 Y.W. 共同一作）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单位：NUS 机械工程系 + NUS（重庆）研究院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全文 28 页、OA（CC-BY-NC）、163 篇参考文献、约 15 幅图；本次精读基于 PDF 全文逐页通读，无信息缺失（非摘要级阅读）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证据分级：R0 = 原文事实（附页码/章节锚点）；R1 = 外部背景知识；R2 = 我的推断/评价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- 精读日期：2026-08-19（会话内完成，全文已通读）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：以"高能量密度固态锂离子电池（SSLIB）"为目标，系统综述聚合物基固态电解质（PEO/PAN/PVDF/PVDF-HFP/PMMA 等）的 Li⁺ 传导机理、多组分电解质体系（GPE/CPE/CGPE）以及电极/电解质界面设计策略（正极：接触润湿、电化学稳定性、空间电荷层；负极：化学稳定性、锂枝晶抑制）。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贯穿全文的分类骨架</w:t>
      </w:r>
      <w:r>
        <w:rPr>
          <w:rFonts w:ascii="Times New Roman" w:hAnsi="Times New Roman" w:eastAsia="宋体"/>
          <w:b w:val="0"/>
          <w:sz w:val="24"/>
        </w:rPr>
        <w:t>（R0·§2–§3）：SPE（纯固态聚合物）→ 添加 LE/IL/ICE 衍生出 GPE（凝胶）、CPE（复合）、CGPE（凝胶复合）。每个体系的核心矛盾是「离子电导率 ↔ 力学/热/电化学稳定性 ↔ 界面兼容性」三角平衡。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核心论断</w:t>
      </w:r>
      <w:r>
        <w:rPr>
          <w:rFonts w:ascii="Times New Roman" w:hAnsi="Times New Roman" w:eastAsia="宋体"/>
          <w:b w:val="0"/>
          <w:sz w:val="24"/>
        </w:rPr>
        <w:t>（R0·P24-25·§5）：聚合物基 SSE 以薄、轻、界面接触好著称，是高能量密度 LIB 最有希望的方向之一；但四大挑战未解决：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多组分体系（GPE/CPE/CGPE）的 Li⁺ 传输机制仍不清楚；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电化学窗口与力学强度不足（电解质越薄越易被枝晶刺穿）；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正极面载量（mass-loading）普遍仅 1–5 mg/cm²，远低于实用要求（液体体系已做到 50–100 mg/cm²）；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制造成本高、停留在实验室阶段。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对本人的直接价值</w:t>
      </w:r>
      <w:r>
        <w:rPr>
          <w:rFonts w:ascii="Times New Roman" w:hAnsi="Times New Roman" w:eastAsia="宋体"/>
          <w:b w:val="0"/>
          <w:sz w:val="24"/>
        </w:rPr>
        <w:t>：电解质/电池类课题（39/50/23/24）的"地基综述"——材料体系、机理模型、界面策略、关键数据一网打尽；作者团队（吕力/王玉美，NUS ME + NUSRI-CQ）本身就是固态电池与铁电界面工程的重镇（R1，与 7 志愿无直接选题关系，按电解质主线奠基综述定位）。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课题关联分析（7 志愿逐一映射）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13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志愿</w:t>
            </w:r>
          </w:p>
        </w:tc>
        <w:tc>
          <w:tcPr>
            <w:tcW w:type="dxa" w:w="45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课题</w:t>
            </w:r>
          </w:p>
        </w:tc>
        <w:tc>
          <w:tcPr>
            <w:tcW w:type="dxa" w:w="30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关联强度</w:t>
            </w:r>
          </w:p>
        </w:tc>
        <w:tc>
          <w:tcPr>
            <w:tcW w:type="dxa" w:w="756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本综述相关内容（页码锚点）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50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卤化物 SSE 液相合成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 中强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§2.1.3 卤化物段（P5, L344-350）：Li₃MX₆（M³⁺, X=Cl/Br/I）家族、干/湿空气稳定、窗口可达 6.0 V vs Li/Li⁺、电导率从"不理想"到近期 ≈10⁻³ S/cm 的演进；缺陷化学（Schottky/Frenkel、空位/间隙跳跃/敲出机制，P5）正是"液相合成→缺陷调控→电导率"链条的理论入口。注意：综述以聚合物为主线，卤化物着墨很少（仅一段），深度需补专门卤化物文献。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23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卤化物 SSE 界面层计算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 中强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§4.1.3 空间电荷层节（P21-22）给出界面层设计的物理语言（化学势差→电荷再分布→SCL→铁电/介电缓冲层），并引用 Tateyama 团队 LCO/β-Li₃PS₄ 界面第一性原理研究（ref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146], Chem. Mater. 2014）——正是"界面层计算"的领域先例；§4.1.2 的 CEI/涂层策略（LATP/LAGP 陶瓷涂层, P19-20）可作实验对照。注意：综述无卤化物专属界面算例，23 的计算方法主体须回到课题 23 专门文献。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Li₃PS₄ 传导计算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 中强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§2.1.3 硫化物段（P5, L330-343）：Li₃PS₄ 与 γ-Li₃PO₄ 的 LISICON 结构同源；S²⁻ 大半径/高极化率→Li⁺-S²⁻ 相互作用弱→高电导率的机理解释；缺陷与跳跃机制（P5）是计算论文的物理框架。该节引用文献（refs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36-41]，含 He/Zhu/Mo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Nat. Commun.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2017——"超离子导体快离子扩散起源"）正是课题 24 的同源文献群。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39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聚合物凝胶电解质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★★★★★ 最强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全综述即 39 的教科书：§2.2 多组分体系定义与溶剂化鞘结构（P6-8）、§3 四大基体逐个体评述（P8-15）、§4.1.1 原位聚合（UV/热/开环，P15-16）与一体化电极-电解质（P16-18）——正是凝胶电解质论文的核心手法；配方-性能数据密度极高（数十组）。建议作为 39 的第一阅读材料，精读两遍。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22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LLM Agent 热输运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 弱（方法论向）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综述本身无热输运内容（R0：全文未讨论热导率）。关联在方法论：①163 篇文献 + 数十组配方-性能数据是"LLM 文献挖掘 Agent"的理想结构化语料；②"问题→策略→案例→数据→遗留挑战"的组织方式可作 Agent 抽取模板（R2）。做 22 时本文可作领域知识底座，而非直接内容来源。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47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MLIP 相稳定性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 弱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无直接内容。关联点：挑战①（P24）明确"多组分体系 Li⁺ 传输机制不清楚、阻碍电导率提升"——正是 MLIP 可介入的空白（R2）；§4.1.3 的界面模拟（KNN 层 Na⁺ 浓度模拟 Figure 13a、GClO₄ 有限元模拟 Figure 13c）说明领域已有"计算界面"传统。MLIP 具体方法仍须回到 M3GNet 等专门文献。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70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普鲁士蓝钠电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 中弱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Li 主线，但有两处可直接迁移：①铁电界面工程含钠电池案例——KNN 铁电层用于 Na₃V₁.₈₅Fe₀.₁₅(PO₄)₃‖PEO/NZSP CPE‖Na 电池（P21, L1534-1548, ref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145] 恰为王玉美团队工作），室温 165 圈 97.4% 保持率、搁置 2 个月后续跑 180 圈仍 86%；②SCL 物理（化学势差驱动的界面电荷再分布）对钠电界面同样成立（R2）。其余（SEI/CEI、载量逻辑）可平移。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注：关联强度为我基于"综述内容对课题的覆盖率"的判断（R2），非论文自述。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内容深度解读（按论文自身结构，均为 R0）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3.1 引言：为什么要做高能量密度 SSLIB（P1-4）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传统 LIB 能量密度受限于石墨负极（372 mAh/g）与液体电解质的电压/安全窗口；锂金属负极（3860 mAh/g、-3.04 V vs SHE）可带来 40–50% 能量密度提升（P22 重申，L1623-1631）。电解质候选谱系从 LE 到 GPE/CPE/CGPE/SPE/ICE 逐步"固态化"：越固态越安全、能量密度越高，但离子传导与界面问题越难。综述定位：不以罗列材料为目的，而是以"Li⁺ 传导路径"为主线（电导率决定论），再收束到界面工程。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3.2 第 2 章：本征特性与 Li⁺ 传导机理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两种经验模型（P5, L279-311）</w:t>
      </w:r>
      <w:r>
        <w:rPr>
          <w:rFonts w:ascii="Times New Roman" w:hAnsi="Times New Roman" w:eastAsia="宋体"/>
          <w:b w:val="0"/>
          <w:sz w:val="24"/>
        </w:rPr>
        <w:t>：Arrhenius（σ=σ₀e^(−Ea/kT)，适用 SPE 高温段与 ICE 晶格跳跃）与 VTF（σ=σ₀T^(−1/2)e^(−B/(T−T₀))，适用聚合物链段运动耦合传导）。关键概念：链段运动与离子运动的"解耦"——高温下链段运动把跳跃位点拉近、离子迁移能降低。这是理解聚合物电解质电导率-温度依赖的钥匙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ICE 三族对比（P5, L312-350）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氧化物（LAGP/LATP、LLZO、LLTO 等）：电导率可比 LE、电/热稳定性高、力学强度可抑枝晶；但柔性差、与电极点接触；含 Ti/Ge 者（LATP/LAGP/LLTO）接触锂金属会被还原——直接解释了第 4 章为何要给负极侧加保护层。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硫化物（含 Li₃PS₄ 族与 argyrodite Li₆PS₅X）：S²⁻ 半径大、极化率高 → Li⁺-S²⁻ 相互作用弱 → 电导率高（argyrodite 室温 &gt;10⁻³ S/cm，S²⁻/Cl⁻ 无序促进 Li⁺ 迁移）；质软、界面接触好；但空气稳定性差（课题 24 材料体系的硬约束）。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卤化物（Li₃MX₆）：干/湿空气均稳定、窗口达 6.0 V；早期电导率不理想，近期才做到 ≈10⁻³ S/cm（课题 50 的背景板：合成-缺陷-电导率关系决定卤化物能否实用）。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缺陷化学与传导三机制（P5, L351-370）</w:t>
      </w:r>
      <w:r>
        <w:rPr>
          <w:rFonts w:ascii="Times New Roman" w:hAnsi="Times New Roman" w:eastAsia="宋体"/>
          <w:b w:val="0"/>
          <w:sz w:val="24"/>
        </w:rPr>
        <w:t>：Schottky 缺陷（阴阳离子空位对）与 Frenkel 缺陷（空位+间隙离子对）；Li⁺ 传导 = 空位跳跃、间隙跳跃、间隙敲出（interstitial knock-off）；电导率由载流子浓度与扩散类型/路径决定。→ 这是"晶体结构-缺陷-离子输运"的完整链条，课题 24 的第一性原理计算与课题 50 的液相合成（缺陷工程）都建立在这套语言上（R2）。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晶界电阻（P5-6, L371-381）</w:t>
      </w:r>
      <w:r>
        <w:rPr>
          <w:rFonts w:ascii="Times New Roman" w:hAnsi="Times New Roman" w:eastAsia="宋体"/>
          <w:b w:val="0"/>
          <w:sz w:val="24"/>
        </w:rPr>
        <w:t>：多晶 ICE 中晶界电阻常超晶内电阻；氧化物与卤化物受影响显著，硫化物因合成条件与软特性晶界电阻低——这是"哪种电解质能做厚/做大"的物理根源之一（R0+R2）。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多组分电解质谱系（§2.2, P6-8）</w:t>
      </w:r>
      <w:r>
        <w:rPr>
          <w:rFonts w:ascii="Times New Roman" w:hAnsi="Times New Roman" w:eastAsia="宋体"/>
          <w:b w:val="0"/>
          <w:sz w:val="24"/>
        </w:rPr>
        <w:t>：CLE（陶瓷-液体，界面滴加 LE 形成 SLEI，避免 NASICON 被锂还原）、GPE（聚合物+LE/IL 塑化）、CPE（聚合物+陶瓷填料）、CGPE（凝胶+陶瓷）。Figure 4c：LE/GPE/CGPE 中溶剂化鞘结构差异及其对 SEI 的影响；溶剂化鞘从"溶剂分子主导"转向"阴离子主导"（CIP/AGG 聚集体）时，界面 SEI 更富无机 LiF——这条"溶溶剂化结构→界面化学"因果链在 §4.1.2 被反复调用（如 PETEA/SiO₂ 体系，P19）。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3.3 第 3 章：四大聚合物基体（P8-15）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PEO（3.1）</w:t>
      </w:r>
      <w:r>
        <w:rPr>
          <w:rFonts w:ascii="Times New Roman" w:hAnsi="Times New Roman" w:eastAsia="宋体"/>
          <w:b w:val="0"/>
          <w:sz w:val="24"/>
        </w:rPr>
        <w:t>：最经典；Li⁺ 与醚氧配位、传导依赖链段运动，室温电导率低 → 改性三板斧：①分子设计（嵌段/交联/梳状）；②塑化剂/IL；③陶瓷填料（惰性 SiO₂/Al₂O₃ 靠降低结晶度+界面空间电荷层，活性 LLZO/LATP 直接提供传导通道）；纳米线/3D 网络填料可同时提升力学与抑枝晶能力（LLZO/PVA 纳米纤维网络 CPE：Li‖CPE‖Li 在 0.5 mA/cm²、25 °C 稳定 1000 h——§4.2.2 再次引用，说明填料网络设计的双重收益）。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PAN（3.2）</w:t>
      </w:r>
      <w:r>
        <w:rPr>
          <w:rFonts w:ascii="Times New Roman" w:hAnsi="Times New Roman" w:eastAsia="宋体"/>
          <w:b w:val="0"/>
          <w:sz w:val="24"/>
        </w:rPr>
        <w:t>：机械强度高、热稳定、窗口宽；但 ─C≡N 与锂金属反应（化学不稳定）、刚性大——通常做成凝胶或与柔性基体复合（PAN 核-PMMA 壳 coaxial 电纺纤维，P14, Figure 8e）。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PVDF/PVDF-HFP（3.3, P12-14）</w:t>
      </w:r>
      <w:r>
        <w:rPr>
          <w:rFonts w:ascii="Times New Roman" w:hAnsi="Times New Roman" w:eastAsia="宋体"/>
          <w:b w:val="0"/>
          <w:sz w:val="24"/>
        </w:rPr>
        <w:t xml:space="preserve">：强极性 C─F 键、高介电常数促进锂盐解离；PVDF 中残余 DMF 形成独特的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Li(DMF)x]⁺ 传导机制（Figure 8a, 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101]）——"溶剂参与传导"的典型案例，与"链段运动传导"形成对照；PVDF-HFP 因 HFP 无定形区提供更多传导位点，电导率优于 PVDF（7.5×10⁻³ vs 1.3×10⁻³ S/cm, P12）；PVDF-TrFE 及三聚物 P(VDF-TrFE-CTFE) 通过铁电/介电调控氟原子构象（TGTG'→TTTT）与离子跳跃位点占用（P13-14），TTTT 构象为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Li(DMF)x]⁺ 提供"高速通道"。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PMMA（3.4, P14-15）</w:t>
      </w:r>
      <w:r>
        <w:rPr>
          <w:rFonts w:ascii="Times New Roman" w:hAnsi="Times New Roman" w:eastAsia="宋体"/>
          <w:b w:val="0"/>
          <w:sz w:val="24"/>
        </w:rPr>
        <w:t>：1985 年即被研究（ref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109]）；透明无定形、室温电导率优于 PEO、对锂金属界面稳定、成本低、可原位聚合实现一体化；缺点：无定形导致力学差 → 需塑化或与高强基体复合（PMMA-聚异戊二烯弹性体：560% 延伸率、5.08 V 窗口；自修复 PMMA-IL 接枝等）。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共性结论</w:t>
      </w:r>
      <w:r>
        <w:rPr>
          <w:rFonts w:ascii="Times New Roman" w:hAnsi="Times New Roman" w:eastAsia="宋体"/>
          <w:b w:val="0"/>
          <w:sz w:val="24"/>
        </w:rPr>
        <w:t>（R0·P24 复述）：没有"六边形战士"基体；改性 = 分子结构设计 + 多组分复配 + 界面工程三者联动。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3.4 第 4 章：电极/聚合物 SSE 界面设计（P15-23）——方法论密度最高的一章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4.1 正极侧三大问题（P15-22）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(1) 接触与润湿（4.1.1）</w:t>
      </w:r>
      <w:r>
        <w:rPr>
          <w:rFonts w:ascii="Times New Roman" w:hAnsi="Times New Roman" w:eastAsia="宋体"/>
          <w:b w:val="0"/>
          <w:sz w:val="24"/>
        </w:rPr>
        <w:t>：聚合物 SSE 软、能贴紧电极，但对高载量厚电极渗透差 → 两条路线：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原位聚合</w:t>
      </w:r>
      <w:r>
        <w:rPr>
          <w:rFonts w:ascii="Times New Roman" w:hAnsi="Times New Roman" w:eastAsia="宋体"/>
          <w:b w:val="0"/>
          <w:sz w:val="24"/>
        </w:rPr>
        <w:t>：液态单体前驱体浇注/注入后聚合；链式（自由基/阳离子/阴离子）与逐步聚合两大类。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自由基-UV 固化（HMPP 光引发）：只能先浇在正极上聚合、再装负极——光照区域受限是硬伤（P15）。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自由基-热固化（AIBN，70–80 °C）：可注入预组装电池。案例：LCO（6 mg/cm²）‖PEG-LiTFSI/CA/LLZTO‖Li，60 °C、0.5C、500 圈 80.7%（P15）。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阳离子-开环聚合（DOL 开环，LiDFOB 或 Al(OTf)₃ 兼作引发剂与锂盐）：PDOL-LiDFOB/ISN 体系界面电荷转移电阻仅 30.8 Ω、300 圈 97.1% 保持率、载量提至 11.7 mg/cm² 仍可 50 °C 1C 循环；PDOL/PDA/PVDF-HFP 体系 2C 下 800+ 圈稳定（P16）。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一体化正极-电解质</w:t>
      </w:r>
      <w:r>
        <w:rPr>
          <w:rFonts w:ascii="Times New Roman" w:hAnsi="Times New Roman" w:eastAsia="宋体"/>
          <w:b w:val="0"/>
          <w:sz w:val="24"/>
        </w:rPr>
        <w:t>：把聚合物前驱体混入正极浆料（既当离子导体又当粘结剂）再铸电解质层。手段：UV 固化（GelMA/PEGDA：一体化 136.7 mAh/g、91.4% vs 常规组装 122.1、80.9%）、60 °C 熔融融合 fusing（PLLN）、热压 hot-pressing（PLLA，仅热塑性聚合物可用）、电纺 PVDF 网络 + 注入 FPG 复合电解质（载量 13 mg/cm² 仍给 124.1 mAh/g, P18, 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130]）。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(2) 电化学稳定性（4.1.2）</w:t>
      </w:r>
      <w:r>
        <w:rPr>
          <w:rFonts w:ascii="Times New Roman" w:hAnsi="Times New Roman" w:eastAsia="宋体"/>
          <w:b w:val="0"/>
          <w:sz w:val="24"/>
        </w:rPr>
        <w:t>：化学不稳定（无电场下的反应，如 PAN 对锂）vs 电化学不稳定（高/低电场下的氧化还原分解）。四条策略：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构筑稳定 CEI</w:t>
      </w:r>
      <w:r>
        <w:rPr>
          <w:rFonts w:ascii="Times New Roman" w:hAnsi="Times New Roman" w:eastAsia="宋体"/>
          <w:b w:val="0"/>
          <w:sz w:val="24"/>
        </w:rPr>
        <w:t>：锂盐添加剂 LiDFOB/LiBOB/LiTFPFB（分解成 LiF/LiₓBₓOᵧF₂ 富无机 CEI）；双盐（LiTFSI+LiDFOB，NCM622 169.2 mAh/g、100 圈 94.7%, P18）；"聚合物-准离子液体"PQILE（PEO+DME-LiFSI 络合，NCM111 在 4.4 V 截止下 300 圈仍 79.2%, P19）；SiO₂ 填料诱导 AGGs 溶剂化鞘→富 LiF CEI/SEI（LFP 5 mg/cm²、700 圈 68.5%, P19）。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正极包覆</w:t>
      </w:r>
      <w:r>
        <w:rPr>
          <w:rFonts w:ascii="Times New Roman" w:hAnsi="Times New Roman" w:eastAsia="宋体"/>
          <w:b w:val="0"/>
          <w:sz w:val="24"/>
        </w:rPr>
        <w:t>：陶瓷包覆（LATP &lt;20 μm 于 LCO：176 mAh/g、50 圈 93.2%；LAGP 球磨烧结包 NCM523：10.5 mg/cm²、400 圈 81.9%, P19-20）与聚合物包覆（PAB 于 NCM622，─CN 助 Li⁺ 传导；5 nm PVC-LiDFOB 于 LCO）。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对称/非对称多层电解质</w:t>
      </w:r>
      <w:r>
        <w:rPr>
          <w:rFonts w:ascii="Times New Roman" w:hAnsi="Times New Roman" w:eastAsia="宋体"/>
          <w:b w:val="0"/>
          <w:sz w:val="24"/>
        </w:rPr>
        <w:t>：正极侧 1 μm PEO-LiDFOB 薄层（构筑 LiₓBₓOᵧ+LiF CEI）；准双层 PVDF/PVDF-HFP-LiTFSI/LLZO——正极侧抗氧化 PC、负极侧抗还原 DGM（NCM811 1C、200 圈 80.2%, P20-21）；对称 IPL-PEO-LiTFSI/LLZTO-IPL（4.5 V 截止、100 圈 82.7%）。作者提醒：多层结构须控厚度，否则牺牲能量密度（P21）。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(3) 空间电荷层 SCL（4.1.3, P21-22）</w:t>
      </w:r>
      <w:r>
        <w:rPr>
          <w:rFonts w:ascii="Times New Roman" w:hAnsi="Times New Roman" w:eastAsia="宋体"/>
          <w:b w:val="0"/>
          <w:sz w:val="24"/>
        </w:rPr>
        <w:t xml:space="preserve">：即使接触好、电化学兼容，化学势差 + 电势差仍驱动电荷再分布，界面形成 Li⁺ 富集/贫化层 → 迁移能垒升高、界面电阻增大。解法 = </w:t>
      </w:r>
      <w:r>
        <w:rPr>
          <w:rFonts w:ascii="Times New Roman" w:hAnsi="Times New Roman" w:eastAsia="宋体"/>
          <w:b/>
          <w:sz w:val="24"/>
        </w:rPr>
        <w:t>铁电/介电界面工程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KNN 铁电层（极化切换建立局部电场、中和界面电势差）：钠电池案例 Na₃V₁.₈₅Fe₀.₁₅(PO₄)₃‖PEO/NZSP‖Na，165 圈 97.4%，搁置 2 个月后续跑 180 圈仍 86%（ref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145]，王玉美团队）；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LNO 缓冲层：LCO/β-Li₃PS₄ 界面（Tateyama 计算先例, 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146]）；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不连续 BTO 涂层：LCO‖LPSCl 界面电阻 2993→1339 Ω，1C 下 92 vs 60 mAh/g（ref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144], Nat. Commun. 2020）；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有机-无机杂化 GClO₄：自极化+挠曲电效应，LCO 载量 8.9 mg/cm² 给 210.6 mAh/g（ref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147]）；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Kevlar 水凝胶固定 SO₄²⁻（锌电池端，ref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148]）。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作者的清醒批评（P21-22）</w:t>
      </w:r>
      <w:r>
        <w:rPr>
          <w:rFonts w:ascii="Times New Roman" w:hAnsi="Times New Roman" w:eastAsia="宋体"/>
          <w:b w:val="0"/>
          <w:sz w:val="24"/>
        </w:rPr>
        <w:t>：上述策略展示的电池正极载量普遍仅 1–5 mg/cm²，远低于高能量密度要求；个别 &gt;10 mg/cm² 也以牺牲容量/循环为代价；而液体体系已做到 50–100 mg/cm²。→ "界面文章能否撑起高载量"才是试金石（R0；这条可直接用于评价日后读到的每一篇界面论文）。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4.2 负极侧（P22-23）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为什么是锂金属：3860 vs 372 mAh/g、低电位、能量密度 +40–50%；硅负极体积膨胀伤 SEI；无负极（anode-free）是远期方向，但库仑效率与集流体枝晶未解。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化学稳定性</w:t>
      </w:r>
      <w:r>
        <w:rPr>
          <w:rFonts w:ascii="Times New Roman" w:hAnsi="Times New Roman" w:eastAsia="宋体"/>
          <w:b w:val="0"/>
          <w:sz w:val="24"/>
        </w:rPr>
        <w:t>：PAN 的 ─C≡N、LATP/LLTO 的 Ti、LAGP 的 Ge 均被锂还原；对策 = 构筑只导 Li⁺ 的稳健 SEI（LiDFOB/FEC → LiF 富集 SEI；Janus 结构物理隔离；负极侧 PEO/PVDF-HFP 保护层隔开 LATP：100 圈 91.7%, P23）。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枝晶抑制</w:t>
      </w:r>
      <w:r>
        <w:rPr>
          <w:rFonts w:ascii="Times New Roman" w:hAnsi="Times New Roman" w:eastAsia="宋体"/>
          <w:b w:val="0"/>
          <w:sz w:val="24"/>
        </w:rPr>
        <w:t xml:space="preserve">：CPE/CGPE 靠陶瓷增强力学，但陶瓷含量过高会团聚、牺牲电导率 → </w:t>
      </w:r>
      <w:r>
        <w:rPr>
          <w:rFonts w:ascii="Times New Roman" w:hAnsi="Times New Roman" w:eastAsia="宋体"/>
          <w:b/>
          <w:sz w:val="24"/>
        </w:rPr>
        <w:t>双层设计</w:t>
      </w:r>
      <w:r>
        <w:rPr>
          <w:rFonts w:ascii="Times New Roman" w:hAnsi="Times New Roman" w:eastAsia="宋体"/>
          <w:b w:val="0"/>
          <w:sz w:val="24"/>
        </w:rPr>
        <w:t>把高陶瓷层放负极侧（PEO/40 wt% LLZTO：Li‖双层‖Li 400 h vs 单层 147 h 短路, P23）；陶瓷形貌工程（纳米线/网络：1000 h）；原位生成高强界面相（Sn(Oct)₂ 引发 ε-CL 开环聚合并生成 LiSn 界面层：900 h 稳定 vs 非原位 200 h 短路, P23）。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3.5 第 5 章：结论与四大挑战（P24-25）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传输机制不明</w:t>
      </w:r>
      <w:r>
        <w:rPr>
          <w:rFonts w:ascii="Times New Roman" w:hAnsi="Times New Roman" w:eastAsia="宋体"/>
          <w:b w:val="0"/>
          <w:sz w:val="24"/>
        </w:rPr>
        <w:t>：多组分体系（GPE/CPE/CGPE）Li⁺ 传输机制不清楚；全固态 CPE 是未来方向，但无液相添加剂时电导率不足 → 需要机理级理解支撑新材料设计（→计算/模拟的用武之地，连接 24/47，R2）。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综合性能</w:t>
      </w:r>
      <w:r>
        <w:rPr>
          <w:rFonts w:ascii="Times New Roman" w:hAnsi="Times New Roman" w:eastAsia="宋体"/>
          <w:b w:val="0"/>
          <w:sz w:val="24"/>
        </w:rPr>
        <w:t>：电化学窗口需匹配高电压正极；"薄 vs 力学强度"矛盾（薄了省质量、易被刺穿）→ 新材料 + 新结构。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正极载量</w:t>
      </w:r>
      <w:r>
        <w:rPr>
          <w:rFonts w:ascii="Times New Roman" w:hAnsi="Times New Roman" w:eastAsia="宋体"/>
          <w:b w:val="0"/>
          <w:sz w:val="24"/>
        </w:rPr>
        <w:t>是能量密度直接瓶颈；无负极设计值得关注；</w:t>
      </w:r>
      <w:r>
        <w:rPr>
          <w:rFonts w:ascii="Times New Roman" w:hAnsi="Times New Roman" w:eastAsia="宋体"/>
          <w:b/>
          <w:sz w:val="24"/>
        </w:rPr>
        <w:t>没有任何单一策略同时解决所有界面问题</w:t>
      </w:r>
      <w:r>
        <w:rPr>
          <w:rFonts w:ascii="Times New Roman" w:hAnsi="Times New Roman" w:eastAsia="宋体"/>
          <w:b w:val="0"/>
          <w:sz w:val="24"/>
        </w:rPr>
        <w:t>，须深入机理（副反应、离子传导、枝晶成核/抑制）。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成本与规模化</w:t>
      </w:r>
      <w:r>
        <w:rPr>
          <w:rFonts w:ascii="Times New Roman" w:hAnsi="Times New Roman" w:eastAsia="宋体"/>
          <w:b w:val="0"/>
          <w:sz w:val="24"/>
        </w:rPr>
        <w:t>：实验室级、成本高 → 便宜易合成的聚合物 + 简化工艺。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室温电导率-稳定性-力学三难平衡</w:t>
      </w:r>
      <w:r>
        <w:rPr>
          <w:rFonts w:ascii="Times New Roman" w:hAnsi="Times New Roman" w:eastAsia="宋体"/>
          <w:b w:val="0"/>
          <w:sz w:val="24"/>
        </w:rPr>
        <w:t>：SPE 电导率低、GPE 含液体、CPE 传导差；薄与强不可兼得——贯穿全文的第一矛盾。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多组分体系传导机制不清</w:t>
      </w:r>
      <w:r>
        <w:rPr>
          <w:rFonts w:ascii="Times New Roman" w:hAnsi="Times New Roman" w:eastAsia="宋体"/>
          <w:b w:val="0"/>
          <w:sz w:val="24"/>
        </w:rPr>
        <w:t>：链段运动、溶剂/阴离子参与、界面相贡献纠缠，缺乏预测能力——课题 24/47 的靶心。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高电压兼容性</w:t>
      </w:r>
      <w:r>
        <w:rPr>
          <w:rFonts w:ascii="Times New Roman" w:hAnsi="Times New Roman" w:eastAsia="宋体"/>
          <w:b w:val="0"/>
          <w:sz w:val="24"/>
        </w:rPr>
        <w:t>：窗口 ≥4.5 V 的聚合物电解质仍是少数；CEI 设计依赖添加剂经验式"盲调"。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空间电荷层</w:t>
      </w:r>
      <w:r>
        <w:rPr>
          <w:rFonts w:ascii="Times New Roman" w:hAnsi="Times New Roman" w:eastAsia="宋体"/>
          <w:b w:val="0"/>
          <w:sz w:val="24"/>
        </w:rPr>
        <w:t>：机理清楚，但铁电层方案的普适性、长循环稳定性、高载量有效性均未验证。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高载量正极渗透</w:t>
      </w:r>
      <w:r>
        <w:rPr>
          <w:rFonts w:ascii="Times New Roman" w:hAnsi="Times New Roman" w:eastAsia="宋体"/>
          <w:b w:val="0"/>
          <w:sz w:val="24"/>
        </w:rPr>
        <w:t>：无通用解（UV 光照受限、热固化温度受限、热压仅限热塑性、电纺工艺复杂）。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薄电解质下的枝晶刺穿与副反应放大</w:t>
      </w:r>
      <w:r>
        <w:rPr>
          <w:rFonts w:ascii="Times New Roman" w:hAnsi="Times New Roman" w:eastAsia="宋体"/>
          <w:b w:val="0"/>
          <w:sz w:val="24"/>
        </w:rPr>
        <w:t>：高能量密度要求薄，薄则安全风险升。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卤化物体系（50/23 相关）</w:t>
      </w:r>
      <w:r>
        <w:rPr>
          <w:rFonts w:ascii="Times New Roman" w:hAnsi="Times New Roman" w:eastAsia="宋体"/>
          <w:b w:val="0"/>
          <w:sz w:val="24"/>
        </w:rPr>
        <w:t>：电导率刚过 10⁻³ S/cm 量级、缺陷-合成关系未系统建立、界面研究空白（综述未覆盖）——机会与风险并存。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写作与组织范式（对 22 与论文写作）</w:t>
      </w:r>
      <w:r>
        <w:rPr>
          <w:rFonts w:ascii="Times New Roman" w:hAnsi="Times New Roman" w:eastAsia="宋体"/>
          <w:b w:val="0"/>
          <w:sz w:val="24"/>
        </w:rPr>
        <w:t>：以"问题→机理→策略→案例数据→遗留挑战"为骨架，每小节给物理图像 + 代表性数据。这是综述/调研报告的黄金模板，也是 LLM 文献挖掘 Agent 的字段设计模板。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数据-结论绑定习惯</w:t>
      </w:r>
      <w:r>
        <w:rPr>
          <w:rFonts w:ascii="Times New Roman" w:hAnsi="Times New Roman" w:eastAsia="宋体"/>
          <w:b w:val="0"/>
          <w:sz w:val="24"/>
        </w:rPr>
        <w:t>：几乎每个论断都带具体数值与引用（30.8 Ω 界面电阻、2993→1339 Ω、400 h vs 147 h、11.7 mg/cm²、50–100 mg/cm² 对照）——"无数据不结论"。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对照实验逻辑</w:t>
      </w:r>
      <w:r>
        <w:rPr>
          <w:rFonts w:ascii="Times New Roman" w:hAnsi="Times New Roman" w:eastAsia="宋体"/>
          <w:b w:val="0"/>
          <w:sz w:val="24"/>
        </w:rPr>
        <w:t>：双层 vs 单层（400 h vs 147 h）、原位 vs 非原位（900 h vs 200 h）、一体化 vs 常规组装（136.7 vs 122.1 mAh/g）——对照组设计直接决定结论力度，对 39/50 的实验设计是现成模板。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机理视角</w:t>
      </w:r>
      <w:r>
        <w:rPr>
          <w:rFonts w:ascii="Times New Roman" w:hAnsi="Times New Roman" w:eastAsia="宋体"/>
          <w:b w:val="0"/>
          <w:sz w:val="24"/>
        </w:rPr>
        <w:t>：把"溶剂化鞘结构→CEI/SEI 成分→循环寿命"串成因果链（GPE/CGPE 通用）；把"缺陷类型→传导路径→晶界电阻"作为无机电解质分析框架（50/23/24 通用）。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界面工程工具箱</w:t>
      </w:r>
      <w:r>
        <w:rPr>
          <w:rFonts w:ascii="Times New Roman" w:hAnsi="Times New Roman" w:eastAsia="宋体"/>
          <w:b w:val="0"/>
          <w:sz w:val="24"/>
        </w:rPr>
        <w:t>：CEI 添加剂三件套（LiDFOB/LiBOB/LiTFPFB）、陶瓷/聚合物包覆、多层电解质、铁电界面层——任何电解质课题都可复用。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批判性阅读习惯</w:t>
      </w:r>
      <w:r>
        <w:rPr>
          <w:rFonts w:ascii="Times New Roman" w:hAnsi="Times New Roman" w:eastAsia="宋体"/>
          <w:b w:val="0"/>
          <w:sz w:val="24"/>
        </w:rPr>
        <w:t>：先问"载量多少、倍率多少、温度多少"三个数字，可过滤大部分灌水论文（对 39/50 文献筛选直接可用）。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卤化物为什么"刚刚起步"？（50 相关, R2）</w:t>
      </w:r>
      <w:r>
        <w:rPr>
          <w:rFonts w:ascii="Times New Roman" w:hAnsi="Times New Roman" w:eastAsia="宋体"/>
          <w:b w:val="0"/>
          <w:sz w:val="24"/>
        </w:rPr>
        <w:t>：综述给出卤化物"稳定 + 6 V 窗口"的优点，但电导率直到近期才破 10⁻³ S/cm。液相合成路线的核心命题是"溶剂-缺陷耦合"：极性溶剂可能占据阴离子位点/改变缺陷化学，而缺陷正是传导载体——这恰是"液相 vs 固相合成缺陷工程"的物理分歧点，可作 50 开题的一个理论钩子。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计算在该综述中的缺席与机会（24/47/22 相关, R2）</w:t>
      </w:r>
      <w:r>
        <w:rPr>
          <w:rFonts w:ascii="Times New Roman" w:hAnsi="Times New Roman" w:eastAsia="宋体"/>
          <w:b w:val="0"/>
          <w:sz w:val="24"/>
        </w:rPr>
        <w:t>：综述中"计算"出现极少（仅 Tateyama 界面计算 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146] 与 SCL 有限元模拟），作者在挑战①中自认"机制不清楚"。也就是说：电解质领域正缺"能预测电导率/界面稳定性的计算工具"——Li₃PS₄ 传导计算（24）、MLIP 相稳定性（47）都在这个缺口上选题；而 22（LLM Agent）若能把"文献-数据-机理"结构化，等于给领域造知识基础设施。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铁电界面工程的迁移空间（70/23 相关, R2）</w:t>
      </w:r>
      <w:r>
        <w:rPr>
          <w:rFonts w:ascii="Times New Roman" w:hAnsi="Times New Roman" w:eastAsia="宋体"/>
          <w:b w:val="0"/>
          <w:sz w:val="24"/>
        </w:rPr>
        <w:t>：KNN 铁电层在钠电池上的成功（ref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145]）说明"界面极化场中和空间电荷"是跨体系通用物理；70 的普鲁士蓝钠电若做界面优化可直接借用这套语言；23 的卤化物界面计算也可把"铁电缓冲层"纳入候选结构空间。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人脉与路线参考（R1）</w:t>
      </w:r>
      <w:r>
        <w:rPr>
          <w:rFonts w:ascii="Times New Roman" w:hAnsi="Times New Roman" w:eastAsia="宋体"/>
          <w:b w:val="0"/>
          <w:sz w:val="24"/>
        </w:rPr>
        <w:t>：第一作者肖璐本科华南理工（2022）、硕士 NUS（2023）——几乎是"国内本科 → NUS 硕士 → 继续科研"的活例子；通讯作者吕力为 NUS 机械系教授兼 NUS（重庆）研究院副院长，王玉美为重庆研究院研究学者（哈工大本硕）。本年选题清单虽无其课题（R0：与 7 志愿无直接选题关系），但若想了解 NUSRI-CQ 科研生态，这是真实存在的窗口（R1，细节待核实）。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一页纸沉淀建议</w:t>
      </w:r>
      <w:r>
        <w:rPr>
          <w:rFonts w:ascii="Times New Roman" w:hAnsi="Times New Roman" w:eastAsia="宋体"/>
          <w:b w:val="0"/>
          <w:sz w:val="24"/>
        </w:rPr>
        <w:t>：把 §2 传导模型（Arrhenius/VTF/解耦）、§2.1.3 ICE 三族对比表、§4 界面"问题-策略"对照表（Figure 15 文字版）抄入毕设知识准备文档——这三张表几乎覆盖面试/开题/中期 80% 的电解质常识题。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页码/章节）· 全文 28 页已通读，无信息局限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