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文献精读报告：Direct seawater electrolysis by adjusting the local reaction environment of a catalyst（通过调控催化剂局部反应环境实现直接海水电解）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编制日期：2026年09月18日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：Jiaxin Guo, Yao Zheng, Zhenpeng Hu, Caiyan Zheng, Jing Mao, Kun Du, Mietek Jaroniec, Shi-Zhang Qiao, Tao Ling（J. Guo 与 Y. Zheng 共同第一作者；通讯作者 Shi-Zhang Qiao、Tao Ling）｜</w:t>
      </w:r>
      <w:r>
        <w:rPr>
          <w:rFonts w:ascii="Times New Roman" w:hAnsi="Times New Roman" w:eastAsia="宋体"/>
          <w:b w:val="0"/>
          <w:i/>
          <w:sz w:val="24"/>
        </w:rPr>
        <w:t>Nature Energy</w:t>
      </w:r>
      <w:r>
        <w:rPr>
          <w:rFonts w:ascii="Times New Roman" w:hAnsi="Times New Roman" w:eastAsia="宋体"/>
          <w:b w:val="0"/>
          <w:sz w:val="24"/>
        </w:rPr>
        <w:t xml:space="preserve"> 2023, 8, 264–272（9 页）｜DOI: 10.1038/s41560-023-01195-x｜精读日期 2026-09-18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证据分级：R0=原文事实（附页码锚点，本文锚点＝期刊印刷页 264–272）｜R1=外部背景知识｜R2=我的推断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术语中英对照：OER（析氧反应 oxygen evolution reaction）｜HER（析氢反应 hydrogen evolution reaction）｜EDL（双电层 electrical double layer）｜HSAB（硬软酸碱理论）｜RRDE（旋转环盘电极 rotating ring-disk electrode）｜FE（法拉第效率 Faradaic efficiency）｜PEM（质子交换膜）｜KIE（动力学同位素效应）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本文针对直接海水电解的两个痛点：近中性（pH≈8.0）下活性低，以及 Cl⁻ 侵蚀与 Mg²⁺/Ca²⁺ 沉淀导致失活（R0, p.264、p.265）。方案是在过渡金属氧化物表面引入</w:t>
      </w:r>
      <w:r>
        <w:rPr>
          <w:rFonts w:ascii="Times New Roman" w:hAnsi="Times New Roman" w:eastAsia="宋体"/>
          <w:b/>
          <w:sz w:val="24"/>
        </w:rPr>
        <w:t>硬 Lewis 酸层</w:t>
      </w:r>
      <w:r>
        <w:rPr>
          <w:rFonts w:ascii="Times New Roman" w:hAnsi="Times New Roman" w:eastAsia="宋体"/>
          <w:b w:val="0"/>
          <w:sz w:val="24"/>
        </w:rPr>
        <w:t>（以 Cr₂O₃ 为例）：该层动态劈裂水分子并捕获生成的羟基阴离子，在电极表面</w:t>
      </w:r>
      <w:r>
        <w:rPr>
          <w:rFonts w:ascii="Times New Roman" w:hAnsi="Times New Roman" w:eastAsia="宋体"/>
          <w:b/>
          <w:sz w:val="24"/>
        </w:rPr>
        <w:t>原位生成局部碱性微环境</w:t>
      </w:r>
      <w:r>
        <w:rPr>
          <w:rFonts w:ascii="Times New Roman" w:hAnsi="Times New Roman" w:eastAsia="宋体"/>
          <w:b w:val="0"/>
          <w:sz w:val="24"/>
        </w:rPr>
        <w:t>，从而提升两极动力学、阻挡 Cl⁻ 并减少沉淀（R0, p.264）。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关键结果：自然海水（未碱化、未酸化，仅过滤）中 Cr₂O₃-CoOₓ 在 1.89 V 达 150 mA cm⁻²、1.99 V 达 400 mA cm⁻²（75% iR 补偿），1.80 V 下稳定超 200 h（R0, p.266）；对照 CoOₓ 在碱化海水中 100 h 衰减约 47%，自然海水中 50 h 内电流几乎归零（R0, p.265）。通液式自然海水电解槽（两极均为 Cr₂O₃-CoOₓ）25 °C、2.33 V 达 1.0 A cm⁻²，60 °C 时只需 1.87 V，与 60 °C 高纯水 PEM 电解槽相当，500 mA cm⁻² 稳定超 100 h；H₂、O₂ 法拉第效率约 93% 与 92%（R0, p.264、p.269）。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机制：Cr³⁺ 是过渡金属中最硬的 Lewis 酸（pKa 2.05），Cr₂O₃ 电催化惰性且全电位区间电化学稳定（R0, p.265）；RRDE 测得 6 at% Cr₂O₃-CoOₓ 表面 pH 在 1.60 V vs RHE 接近 14，原位红外见 H₂O</w:t>
      </w:r>
      <w:r>
        <w:rPr>
          <w:rFonts w:ascii="Times New Roman" w:hAnsi="Times New Roman" w:eastAsia="宋体"/>
          <w:b w:val="0"/>
          <w:i/>
          <w:sz w:val="24"/>
        </w:rPr>
        <w:t xml:space="preserve"> 谱带随电位向 OH</w:t>
      </w:r>
      <w:r>
        <w:rPr>
          <w:rFonts w:ascii="Times New Roman" w:hAnsi="Times New Roman" w:eastAsia="宋体"/>
          <w:b w:val="0"/>
          <w:sz w:val="24"/>
        </w:rPr>
        <w:t xml:space="preserve"> 位移，DFT 给出 Cr₂O₃ 上水解离能垒仅 0.08 eV（R0, p.266、p.267、p.268）。表面 OH⁻ 比"抵抗 Cl⁻ 所需过量 OH⁻"高近两个数量级，XPS 几乎无 Cl 物种，OER 选择性约 98%（R0, p.266、p.267）。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课题关联分析（与"电沉积 MnO₂ 稳定 Ru 酸性 OER"的关联：可从"非晶/掺杂催化剂的稳定性策略、电解槽器件级验证、局部反应环境调控、MnO₂/含锰物种的角色"切入）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1）"局部反应环境"可移植，但机制不可照搬。</w:t>
      </w:r>
      <w:r>
        <w:rPr>
          <w:rFonts w:ascii="Times New Roman" w:hAnsi="Times New Roman" w:eastAsia="宋体"/>
          <w:b w:val="0"/>
          <w:sz w:val="24"/>
        </w:rPr>
        <w:t xml:space="preserve"> 本文不改催化剂电子结构，而改电极/电解质界面的化学环境（pH、离子组成、EDL）（R0, p.267、p.270）。酸性 OER 中 Ru 的溶出速率同样依赖位点周围的质子活度、</w:t>
      </w:r>
      <w:r>
        <w:rPr>
          <w:rFonts w:ascii="Times New Roman" w:hAnsi="Times New Roman" w:eastAsia="宋体"/>
          <w:b w:val="0"/>
          <w:i/>
          <w:sz w:val="24"/>
        </w:rPr>
        <w:t>OH/</w:t>
      </w:r>
      <w:r>
        <w:rPr>
          <w:rFonts w:ascii="Times New Roman" w:hAnsi="Times New Roman" w:eastAsia="宋体"/>
          <w:b w:val="0"/>
          <w:sz w:val="24"/>
        </w:rPr>
        <w:t>O 覆盖与氧供给，故"在 Ru 位点外包一层能劈水/捕获中间体的氧化物"（电沉积 MnO₂ 可充当）逻辑成立（R2）。边界条件：Cr³⁺ 的 pKa 仅 2.05，在 pH&lt;2 时极易以离子态存在（R0, p.265；R1），"靠硬酸阳离子劈水"在强酸中不成立（R2）。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2）"惰性屏障"与"氧化还原缓冲"的范式差异。</w:t>
      </w:r>
      <w:r>
        <w:rPr>
          <w:rFonts w:ascii="Times New Roman" w:hAnsi="Times New Roman" w:eastAsia="宋体"/>
          <w:b w:val="0"/>
          <w:sz w:val="24"/>
        </w:rPr>
        <w:t xml:space="preserve"> 本文选 Cr₂O₃ 是因为它</w:t>
      </w:r>
      <w:r>
        <w:rPr>
          <w:rFonts w:ascii="Times New Roman" w:hAnsi="Times New Roman" w:eastAsia="宋体"/>
          <w:b/>
          <w:sz w:val="24"/>
        </w:rPr>
        <w:t>电催化惰性且电化学稳定</w:t>
      </w:r>
      <w:r>
        <w:rPr>
          <w:rFonts w:ascii="Times New Roman" w:hAnsi="Times New Roman" w:eastAsia="宋体"/>
          <w:b w:val="0"/>
          <w:sz w:val="24"/>
        </w:rPr>
        <w:t>（R0, p.265），属纯屏障型界面层；本课题的 MnO₂ 具 Mn⁴⁺/Mn³⁺ 氧化还原活性，角色更接近</w:t>
      </w:r>
      <w:r>
        <w:rPr>
          <w:rFonts w:ascii="Times New Roman" w:hAnsi="Times New Roman" w:eastAsia="宋体"/>
          <w:b/>
          <w:sz w:val="24"/>
        </w:rPr>
        <w:t>电子/氧缓冲层</w:t>
      </w:r>
      <w:r>
        <w:rPr>
          <w:rFonts w:ascii="Times New Roman" w:hAnsi="Times New Roman" w:eastAsia="宋体"/>
          <w:b w:val="0"/>
          <w:sz w:val="24"/>
        </w:rPr>
        <w:t>，可经可逆变价抑制 Ru 达到易溶高价态（R2）。即 Cr₂O₃＝稳定但不参与，MnO₂＝参与但需自身稳定（R2）。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3）同一策略在 Mn 基氧化物上已被验证。</w:t>
      </w:r>
      <w:r>
        <w:rPr>
          <w:rFonts w:ascii="Times New Roman" w:hAnsi="Times New Roman" w:eastAsia="宋体"/>
          <w:b w:val="0"/>
          <w:sz w:val="24"/>
        </w:rPr>
        <w:t xml:space="preserve"> 该策略对 NiOₓ 与 </w:t>
      </w:r>
      <w:r>
        <w:rPr>
          <w:rFonts w:ascii="Times New Roman" w:hAnsi="Times New Roman" w:eastAsia="宋体"/>
          <w:b/>
          <w:sz w:val="24"/>
        </w:rPr>
        <w:t>MnOₓ</w:t>
      </w:r>
      <w:r>
        <w:rPr>
          <w:rFonts w:ascii="Times New Roman" w:hAnsi="Times New Roman" w:eastAsia="宋体"/>
          <w:b w:val="0"/>
          <w:sz w:val="24"/>
        </w:rPr>
        <w:t xml:space="preserve"> 同样适用，Cr₂O₃-MnOₓ 活性显著高于原始 MnOₓ（R0, p.266、p.270），为本课题提供先例（R2：酸性仍需重新验证）。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4）可迁移的三件工具。</w:t>
      </w:r>
      <w:r>
        <w:rPr>
          <w:rFonts w:ascii="Times New Roman" w:hAnsi="Times New Roman" w:eastAsia="宋体"/>
          <w:b w:val="0"/>
          <w:sz w:val="24"/>
        </w:rPr>
        <w:t xml:space="preserve"> ① IrO₂ 修饰 RRDE 的界面 pH 定量（含标定式与收集效率 N_D=0.37）（R0, p.270）；② ¹⁸O 动力学同位素效应，把海水中的 OER 判定为"碱性-like"的路径判据（R0, p.266）；③ 反应后 XRD 与 XPS 检测沉淀相与侵蚀物种，对应到本课题即"反应后相分析 + 电解液溶出定量"（R0, p.267、p.268）。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5）器件与稳定性量化的模板。</w:t>
      </w:r>
      <w:r>
        <w:rPr>
          <w:rFonts w:ascii="Times New Roman" w:hAnsi="Times New Roman" w:eastAsia="宋体"/>
          <w:b w:val="0"/>
          <w:sz w:val="24"/>
        </w:rPr>
        <w:t xml:space="preserve"> 通液式单电池参数（9 cm² 电极、膜预处理、喷涂、热压、流速、载量）（R0, p.269、p.270）与"电流密度—时长—保持率"三要素写法均可迁移到本课题的酸性单电池验证（R2）。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内容深度解读（含关键数据，逐条标 R0 页码）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（1）基线性能与失活机制（R0, p.265）。</w:t>
      </w:r>
      <w:r>
        <w:rPr>
          <w:rFonts w:ascii="Times New Roman" w:hAnsi="Times New Roman" w:eastAsia="宋体"/>
          <w:b w:val="0"/>
          <w:sz w:val="24"/>
        </w:rPr>
        <w:t xml:space="preserve"> CoOₓ 生长于碳纤维（2.0 mg cm⁻²），对照为 NiMo‖Fe 掺杂 NiOOH 与 Pt/C‖RuO₂。碱化海水（1 M KOH）中 CoOₓ 在 1.81 V 达 100 mA cm⁻²（75% iR 补偿）；但碱化海水 100 h 衰减约 47%，自然海水 50 h 内几乎归零（图 1b，1.90 V），失活源于氯物种腐蚀与沉淀。背景：碱化海水 1.80–1.90 V（60–80 °C）为 100–400 mA cm⁻²，自然海水约 10 mA cm⁻²，PEM 电解槽 80 °C 约 1.80 V 达 1.0–1.5 A cm⁻²。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（2）Lewis 酸层策略与性能（R0, p.265、p.266）。</w:t>
      </w:r>
      <w:r>
        <w:rPr>
          <w:rFonts w:ascii="Times New Roman" w:hAnsi="Times New Roman" w:eastAsia="宋体"/>
          <w:b w:val="0"/>
          <w:sz w:val="24"/>
        </w:rPr>
        <w:t xml:space="preserve"> Cr₂O₃ 由 Cr(NO₃)₃ 乙醇溶液浸渍后 400 °C、N₂ 中热处理 3 h 制得（R0, p.269），覆盖量由前驱体浓度 0.02–0.20 M 控制为 2/4/6/9/12 at%（R0, p.270），最优 6 at%。自然海水中 150 mA cm⁻²@1.89 V、400 mA cm⁻²@1.99 V，&gt;150 mA cm⁻² 稳定超 200 h（图 1d）。对照 TiO₂-CoOₓ（Ti⁴⁺，pKa≈3.00）提升幅度明显更小，佐证"酸性强度"是关键变量；ECSA 归一化后 Cr₂O₃-CoOₓ 活性仍远高于 CoOₓ、Fe 掺杂 NiOOH 与 RuO₂（R0, p.266）。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（3）局部碱性定量（R0, p.266、p.267、p.268）。</w:t>
      </w:r>
      <w:r>
        <w:rPr>
          <w:rFonts w:ascii="Times New Roman" w:hAnsi="Times New Roman" w:eastAsia="宋体"/>
          <w:b w:val="0"/>
          <w:sz w:val="24"/>
        </w:rPr>
        <w:t xml:space="preserve"> IrO₂ 修饰 RRDE 测表面 pH：6 at% Cr₂O₃-CoOₓ 在 1.60 V vs RHE 时表面 pH≈14，接近碱化海水中的 CoOₓ。随电流密度变化：CoOₓ 表面 pH 低于体相（≈7.9）且随电流下降；Cr₂O₃-CoOₓ 表面 pH 高于体相、先升后降。1.90 V vs RHE 时表面 OH⁻ 浓度仍比"抵抗 Cl⁻ 所需过量 OH⁻"高近两个数量级；1.80 V 下稳定超 200 h，OER 选择性约 98%。阴极侧：6 at% Cr₂O₃-CoOₓ 表面 pH 由 0.10 V vs RHE 的 8.4 升至 −0.10 V vs RHE 的 13.7。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（4）机制证据（R0, p.267、p.268）。</w:t>
      </w:r>
      <w:r>
        <w:rPr>
          <w:rFonts w:ascii="Times New Roman" w:hAnsi="Times New Roman" w:eastAsia="宋体"/>
          <w:b w:val="0"/>
          <w:sz w:val="24"/>
        </w:rPr>
        <w:t xml:space="preserve"> 原位红外（模拟海水 pH 7，0.5 M PBS + 0.5 M NaCl）：CoOₓ 的 H₂O 谱带（3460 cm⁻¹）不随电位移动；Cr₂O₃-CoOₓ 的 H₂O 谱带随电位从 1.0 V 增至 1.8 V vs RHE 持续向 OH 位移，与表面 pH 趋势一致，说明局部 OH⁻ 来自吸附水在 Cr₂O₃ 上的解离。DFT（VASP、PBE、PAW、520 eV、DFT+U 3.7 eV、Cr₂O₃(10-12) 面、CI-NEB 求过渡态）：Cr₂O₃ 上水解离放热、CoOₓ 吸热，1.60 V vs RHE 时 Cr₂O₃ 能垒仅 0.08 eV；解离产生的 H⁺ 以 H₃O⁺ 形式移出 EDL，使体相 pH 略降。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（5）抗沉淀与器件（R0, p.268、p.269、p.270）。</w:t>
      </w:r>
      <w:r>
        <w:rPr>
          <w:rFonts w:ascii="Times New Roman" w:hAnsi="Times New Roman" w:eastAsia="宋体"/>
          <w:b w:val="0"/>
          <w:sz w:val="24"/>
        </w:rPr>
        <w:t xml:space="preserve"> CoOₓ 阴极在 HER 电流 &gt;40 mA cm⁻² 时体相 pH 超过 9.3，生成大量沉淀；Cr₂O₃-CoOₓ 在 100 mA cm⁻² 时体相 pH 约 8.5，连续 2 h 几乎无沉淀（XRD 未检出 Mg(OH)₂），因 OH⁻ 被束缚在 EDL 内、外逸者被 HCO₃⁻ 缓冲（OH⁻ + HCO₃⁻ → H₂O + CO₃²⁻）。通液式电解槽（详细参数见第五节）：两极均为 Ti 毡负载的 Cr₂O₃-CoOₓ，25 °C、2.33 V 达 1.0 A cm⁻²，60 °C 时 1.87 V，500 mA cm⁻² 稳定超 100 h，FE(H₂)≈93%、FE(O₂)≈92%，60 °C、1.80 V 下 H₂ 产率约 40 L h⁻¹ g_cat⁻¹（R0, p.269、p.270）。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（6）合成与表征手段（R0, p.269、p.270）。</w:t>
      </w:r>
      <w:r>
        <w:rPr>
          <w:rFonts w:ascii="Times New Roman" w:hAnsi="Times New Roman" w:eastAsia="宋体"/>
          <w:b w:val="0"/>
          <w:sz w:val="24"/>
        </w:rPr>
        <w:t xml:space="preserve"> CoOₓ 纳米棒由气相阳离子交换法制备；NiOₓ、MnOₓ、Cr₂O₃-NiOₓ、Cr₂O₃-MnOₓ、TiO₂-CoOₓ（5/10/16 at%）同法；Fe 掺杂 NiOOH 按文献合成。表征：SEM、TEM、HAADF-STEM（200 kV）、XRD（Cu Kα）、ICP-MS、XPS、</w:t>
      </w:r>
      <w:r>
        <w:rPr>
          <w:rFonts w:ascii="Times New Roman" w:hAnsi="Times New Roman" w:eastAsia="宋体"/>
          <w:b/>
          <w:sz w:val="24"/>
        </w:rPr>
        <w:t>EPR</w:t>
      </w:r>
      <w:r>
        <w:rPr>
          <w:rFonts w:ascii="Times New Roman" w:hAnsi="Times New Roman" w:eastAsia="宋体"/>
          <w:b w:val="0"/>
          <w:sz w:val="24"/>
        </w:rPr>
        <w:t>。海水取自黄海表层（秋季）并过滤；两电极测试用碳纤维纸载 2.0 mg cm⁻²，长时测试前基底先镀金以抑制碳纤维电化学氧化。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界面 pH 为间接测量且大幅外推。</w:t>
      </w:r>
      <w:r>
        <w:rPr>
          <w:rFonts w:ascii="Times New Roman" w:hAnsi="Times New Roman" w:eastAsia="宋体"/>
          <w:b w:val="0"/>
          <w:sz w:val="24"/>
        </w:rPr>
        <w:t xml:space="preserve"> 方法依赖 IrO₂ 环电极开路电位–pH 标定与 N_D=0.37 的传输修正（R0, p.270），标定区间为体相海水 pH（约 7–9），却外推至 pH≈14（R0, p.266），存在系统误差（R2）。本课题若用此工具，需在 pH 0–3 区间重新标定（R2）。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"硬 Lewis 酸层"策略在酸性介质中不成立。</w:t>
      </w:r>
      <w:r>
        <w:rPr>
          <w:rFonts w:ascii="Times New Roman" w:hAnsi="Times New Roman" w:eastAsia="宋体"/>
          <w:b w:val="0"/>
          <w:sz w:val="24"/>
        </w:rPr>
        <w:t xml:space="preserve"> Cr³⁺ 的 pKa≈2.05 决定其在强酸中以离子态存在（R0, p.265；R1），机制不可直接移植（R2）。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保护层稳定性的证据主要在补充材料。</w:t>
      </w:r>
      <w:r>
        <w:rPr>
          <w:rFonts w:ascii="Times New Roman" w:hAnsi="Times New Roman" w:eastAsia="宋体"/>
          <w:b w:val="0"/>
          <w:sz w:val="24"/>
        </w:rPr>
        <w:t xml:space="preserve"> 主文只给"惰性 + 全电位区间稳定"的结论（R0, p.265），缺长期溶解定量；任何保护层都须用反应后 ICP-MS/EDS 定量净流失，而非仅凭活性保持推断（R2）。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氯化学抑制为间接证据。</w:t>
      </w:r>
      <w:r>
        <w:rPr>
          <w:rFonts w:ascii="Times New Roman" w:hAnsi="Times New Roman" w:eastAsia="宋体"/>
          <w:b w:val="0"/>
          <w:sz w:val="24"/>
        </w:rPr>
        <w:t xml:space="preserve"> 以 XPS Cl 2p、OER 选择性约 98% 与 FE 间接判定，缺 ClO⁻/Cl₂ 的在线定量（R2）。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海水批次、介质差异与缓冲耗竭。</w:t>
      </w:r>
      <w:r>
        <w:rPr>
          <w:rFonts w:ascii="Times New Roman" w:hAnsi="Times New Roman" w:eastAsia="宋体"/>
          <w:b w:val="0"/>
          <w:sz w:val="24"/>
        </w:rPr>
        <w:t xml:space="preserve"> 仅用一地（黄海）表层海水且只过滤（R0, p.270），无标准人工海水对照；性能对比中 Pt/C‖RuO₂ 在纯水、60 °C 运行，与海水体系属跨介质比较（R0, p.269），不宜视为同条件对照（R2）。器件级 100 h@500 mA cm⁻²（R0, p.269）距工业数千小时仍有差距（R1）；体相 pH 不上涨依赖 HCO₃⁻ 缓冲（R0, p.268），缓冲耗竭与 EDL 内 OH⁻ 累积上限未讨论（R2）。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可借鉴点（对实验设计直接可用：合成（是否含电沉积）、表征、电化学测试、器件级验证、稳定性评价）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合成（主层不含电沉积，但有一处电沉积）。</w:t>
      </w:r>
      <w:r>
        <w:rPr>
          <w:rFonts w:ascii="Times New Roman" w:hAnsi="Times New Roman" w:eastAsia="宋体"/>
          <w:b w:val="0"/>
          <w:sz w:val="24"/>
        </w:rPr>
        <w:t xml:space="preserve"> 主层为气相阳离子交换 + 硝酸盐热分解（400 °C/3 h/N₂）（R0, p.269、p.270），非电沉积；</w:t>
      </w:r>
      <w:r>
        <w:rPr>
          <w:rFonts w:ascii="Times New Roman" w:hAnsi="Times New Roman" w:eastAsia="宋体"/>
          <w:b/>
          <w:sz w:val="24"/>
        </w:rPr>
        <w:t>但 RRDE 环电极上的 IrO₂ 由 CV 电沉积制备</w:t>
      </w:r>
      <w:r>
        <w:rPr>
          <w:rFonts w:ascii="Times New Roman" w:hAnsi="Times New Roman" w:eastAsia="宋体"/>
          <w:b w:val="0"/>
          <w:sz w:val="24"/>
        </w:rPr>
        <w:t>（R0, p.270），这是本课题可直接照做的电沉积步骤（局部 pH 探针）。可执行对照（R2）：① 电沉积 MnO₂ 的</w:t>
      </w:r>
      <w:r>
        <w:rPr>
          <w:rFonts w:ascii="Times New Roman" w:hAnsi="Times New Roman" w:eastAsia="宋体"/>
          <w:b/>
          <w:sz w:val="24"/>
        </w:rPr>
        <w:t>电量/厚度梯度</w:t>
      </w:r>
      <w:r>
        <w:rPr>
          <w:rFonts w:ascii="Times New Roman" w:hAnsi="Times New Roman" w:eastAsia="宋体"/>
          <w:b w:val="0"/>
          <w:sz w:val="24"/>
        </w:rPr>
        <w:t>（0.5、1、2、5、10 mC cm⁻²）对应本文覆盖量梯度；② Ru 载量梯度；③ 空白——纯 MnO₂、纯 Ru；④ 参比——商业 RuO₂。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表征。</w:t>
      </w:r>
      <w:r>
        <w:rPr>
          <w:rFonts w:ascii="Times New Roman" w:hAnsi="Times New Roman" w:eastAsia="宋体"/>
          <w:b w:val="0"/>
          <w:sz w:val="24"/>
        </w:rPr>
        <w:t xml:space="preserve"> ① ICP-MS 测反应前后电解液中 Ru、Mn 浓度（R0, p.270）；② XPS 测 Ru 3p/Mn 2p/O 1s 与 Cl 2p（本文用 XPS 判定表面侵蚀物种，R0, p.267）；③ 反应后 XRD 相分析（本文用于确认无 Mg(OH)₂ 沉淀，R0, p.268）；④ </w:t>
      </w:r>
      <w:r>
        <w:rPr>
          <w:rFonts w:ascii="Times New Roman" w:hAnsi="Times New Roman" w:eastAsia="宋体"/>
          <w:b/>
          <w:sz w:val="24"/>
        </w:rPr>
        <w:t>EPR</w:t>
      </w:r>
      <w:r>
        <w:rPr>
          <w:rFonts w:ascii="Times New Roman" w:hAnsi="Times New Roman" w:eastAsia="宋体"/>
          <w:b w:val="0"/>
          <w:sz w:val="24"/>
        </w:rPr>
        <w:t xml:space="preserve"> 检测氧空位/Mn³⁺（本文即用 EPR，R0, p.270），对 MnO₂ 的氧化还原态很直接（R2）；⑤ HAADF-STEM 看界面层厚度与结晶性（R0, p.265）。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电化学测试。</w:t>
      </w:r>
      <w:r>
        <w:rPr>
          <w:rFonts w:ascii="Times New Roman" w:hAnsi="Times New Roman" w:eastAsia="宋体"/>
          <w:b w:val="0"/>
          <w:sz w:val="24"/>
        </w:rPr>
        <w:t xml:space="preserve"> 三电极：Ag/AgCl（饱和 KCl）参比、石墨棒对电极、</w:t>
      </w:r>
      <w:r>
        <w:rPr>
          <w:rFonts w:ascii="Times New Roman" w:hAnsi="Times New Roman" w:eastAsia="宋体"/>
          <w:b/>
          <w:sz w:val="24"/>
        </w:rPr>
        <w:t>75% iR 补偿</w:t>
      </w:r>
      <w:r>
        <w:rPr>
          <w:rFonts w:ascii="Times New Roman" w:hAnsi="Times New Roman" w:eastAsia="宋体"/>
          <w:b w:val="0"/>
          <w:sz w:val="24"/>
        </w:rPr>
        <w:t>、OER 用 O₂ 饱和／HER 用 N₂ 饱和（R0, p.270）；界面环境研究按本文构建 IrO₂ 修饰 RRDE 并做 OCP–pH 标定（R0, p.270）；用 ¹⁸O KIE 判定 OER 路径是否"碱性-like"（R0, p.266）——该判据可用于判断 MnO₂ 是否作为晶格氧源参与反应（R2）；原位红外观察 H₂O</w:t>
      </w:r>
      <w:r>
        <w:rPr>
          <w:rFonts w:ascii="Times New Roman" w:hAnsi="Times New Roman" w:eastAsia="宋体"/>
          <w:b w:val="0"/>
          <w:i/>
          <w:sz w:val="24"/>
        </w:rPr>
        <w:t>→OH</w:t>
      </w:r>
      <w:r>
        <w:rPr>
          <w:rFonts w:ascii="Times New Roman" w:hAnsi="Times New Roman" w:eastAsia="宋体"/>
          <w:b w:val="0"/>
          <w:sz w:val="24"/>
        </w:rPr>
        <w:t>（3460 cm⁻¹）判断界面水解离行为（R0, p.267；R2）。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器件级验证。</w:t>
      </w:r>
      <w:r>
        <w:rPr>
          <w:rFonts w:ascii="Times New Roman" w:hAnsi="Times New Roman" w:eastAsia="宋体"/>
          <w:b w:val="0"/>
          <w:sz w:val="24"/>
        </w:rPr>
        <w:t xml:space="preserve"> 通液式单电池参数可整套对照（R2）：Nafion 115 三段预处理（5 wt% H₂O₂／1 M H₂SO₄／去离子水，80 °C 各 1 h）、催化层超声喷涂于膜、两张 Ti 毡对称电极、热压 100 °C/1 min/6 MPa、面积 9 cm²、流速 60 mL min⁻¹；酸性版本换成 Ru–MnO₂ 阳极 + Pt/C 阴极 + 酸电解质（R0, p.269、p.270）。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稳定性评价。</w:t>
      </w:r>
      <w:r>
        <w:rPr>
          <w:rFonts w:ascii="Times New Roman" w:hAnsi="Times New Roman" w:eastAsia="宋体"/>
          <w:b w:val="0"/>
          <w:sz w:val="24"/>
        </w:rPr>
        <w:t xml:space="preserve"> 三档并行（半电池、两电极、通液式器件），每档报告"电流密度 + 时长 + 保持率"（本文写法：碱化 −47%/100 h、自然海水 50 h 归零、&gt;150 mA cm⁻²/200 h、500 mA cm⁻²/&gt;100 h）（R0, p.265、p.266、p.269）；并补做反应后表面与溶液分析（R2）。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第一，本文提示</w:t>
      </w:r>
      <w:r>
        <w:rPr>
          <w:rFonts w:ascii="Times New Roman" w:hAnsi="Times New Roman" w:eastAsia="宋体"/>
          <w:b/>
          <w:sz w:val="24"/>
        </w:rPr>
        <w:t>稳定性瓶颈可能在界面环境而非催化剂本体的电子结构</w:t>
      </w:r>
      <w:r>
        <w:rPr>
          <w:rFonts w:ascii="Times New Roman" w:hAnsi="Times New Roman" w:eastAsia="宋体"/>
          <w:b w:val="0"/>
          <w:sz w:val="24"/>
        </w:rPr>
        <w:t>：若 Ru 溶出主要由界面局部质子活度与 OH 覆盖决定，则电沉积 MnO₂ 的价值可能不止"Ru–O–Mn 电子耦合"，还包括对界面水与中间体的再分配，此点需界面探针验证（R2）。第二，"惰性屏障"（Cr₂O₃）靠自身不反应保护，"氧化还原缓冲"（MnO₂）靠可逆变价分担氧化应力，代价是 MnO₂ 在强酸高电位下可能被氧化为可溶 MnO₄⁻（R1：MnO₄⁻/MnO₂ 电对在酸中约 1.68 V vs SHE；R2：与酸性 OER 工作窗重叠，是本课题核心矛盾）。第三，¹⁸O KIE 与界面 pH 两件工具恰好能回答本课题最关键的两个问题——MnO₂ 是否参与晶格氧交换、Ru 位点局部环境是否被 MnO₂ 改变（R2）。第四，面向 9.24 组会，本文可承担"局部反应环境调控 + 器件级验证"一页，与 NC-1 形成对照（R2）。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