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p>
    <w:p>
      <w:pPr>
        <w:jc w:val="center"/>
      </w:pPr>
    </w:p>
    <w:p>
      <w:pPr>
        <w:jc w:val="center"/>
      </w:pPr>
    </w:p>
    <w:p>
      <w:pPr>
        <w:jc w:val="center"/>
      </w:pPr>
      <w:r>
        <w:rPr>
          <w:rFonts w:ascii="宋体" w:hAnsi="宋体" w:eastAsia="宋体"/>
          <w:b/>
          <w:sz w:val="44"/>
        </w:rPr>
        <w:t>文献精读报告：Fundamental Understanding of Structural Reconstruction Behaviors in Oxygen Evolution Reaction Electrocatalysts（析氧反应电催化剂结构重构行为的基础理解）</w:t>
      </w:r>
    </w:p>
    <w:p/>
    <w:p/>
    <w:p/>
    <w:p/>
    <w:p/>
    <w:p/>
    <w:p/>
    <w:p/>
    <w:p/>
    <w:p/>
    <w:p/>
    <w:p/>
    <w:p/>
    <w:p/>
    <w:p>
      <w:pPr>
        <w:jc w:val="center"/>
      </w:pPr>
      <w:r>
        <w:rPr>
          <w:rFonts w:ascii="宋体" w:hAnsi="宋体" w:eastAsia="宋体"/>
          <w:sz w:val="24"/>
        </w:rPr>
        <w:t>编制日期：2026年09月18日</w:t>
      </w:r>
    </w:p>
    <w:p/>
    <w:p>
      <w:r>
        <w:br w:type="page"/>
      </w:r>
    </w:p>
    <w:p>
      <w:pPr>
        <w:spacing w:before="120" w:after="120"/>
        <w:ind w:left="567" w:right="567"/>
        <w:pBdr>
          <w:left w:val="single" w:sz="12" w:color="6366F1"/>
        </w:pBdr>
      </w:pPr>
      <w:r>
        <w:rPr>
          <w:rFonts w:ascii="Times New Roman" w:hAnsi="Times New Roman" w:eastAsia="宋体"/>
          <w:b/>
          <w:sz w:val="24"/>
        </w:rPr>
        <w:t>元信息</w:t>
      </w:r>
      <w:r>
        <w:rPr>
          <w:rFonts w:ascii="Times New Roman" w:hAnsi="Times New Roman" w:eastAsia="宋体"/>
          <w:b w:val="0"/>
          <w:sz w:val="24"/>
        </w:rPr>
        <w:t xml:space="preserve">：Haoyin Zhong, Qi Zhang, </w:t>
      </w:r>
      <w:r>
        <w:rPr>
          <w:rFonts w:ascii="Times New Roman" w:hAnsi="Times New Roman" w:eastAsia="宋体"/>
          <w:b/>
          <w:sz w:val="24"/>
        </w:rPr>
        <w:t>Junchen Yu</w:t>
      </w:r>
      <w:r>
        <w:rPr>
          <w:rFonts w:ascii="Times New Roman" w:hAnsi="Times New Roman" w:eastAsia="宋体"/>
          <w:b w:val="0"/>
          <w:sz w:val="24"/>
        </w:rPr>
        <w:t xml:space="preserve">, Xin Zhang, Chao Wu, Yifan Ma, Hang An, Hao Wang, Jun Zhang, Xiaopeng Wang, </w:t>
      </w:r>
      <w:r>
        <w:rPr>
          <w:rFonts w:ascii="Times New Roman" w:hAnsi="Times New Roman" w:eastAsia="宋体"/>
          <w:b/>
          <w:sz w:val="24"/>
        </w:rPr>
        <w:t>Junmin Xue</w:t>
      </w:r>
      <w:r>
        <w:rPr>
          <w:rFonts w:ascii="Times New Roman" w:hAnsi="Times New Roman" w:eastAsia="宋体"/>
          <w:b w:val="0"/>
          <w:sz w:val="24"/>
        </w:rPr>
        <w:t>（禹俊辰为第三作者；通讯作者 Xiaopeng Wang、Junmin Xue 均属 NUS MSE；资助 NRF-CRP26-2021-0003、MOE AcRF Tier2 MOE-T2EP501220010）｜Adv. Energy Mater. 2023, 13, 2301391（1–25 of 25）｜DOI: 10.1002/aenm.202301391（2023-06-29 在线）｜精读日期 2026-09-18</w:t>
      </w:r>
    </w:p>
    <w:p>
      <w:pPr>
        <w:spacing w:before="120" w:after="120"/>
        <w:ind w:left="567" w:right="567"/>
        <w:pBdr>
          <w:left w:val="single" w:sz="12" w:color="6366F1"/>
        </w:pBdr>
      </w:pPr>
      <w:r>
        <w:rPr>
          <w:rFonts w:ascii="Times New Roman" w:hAnsi="Times New Roman" w:eastAsia="宋体"/>
          <w:b w:val="0"/>
          <w:sz w:val="24"/>
        </w:rPr>
        <w:t>证据分级：R0=原文事实（附页码锚点，如 p.3）｜R1=外部背景知识｜R2=我的推断</w:t>
      </w:r>
    </w:p>
    <w:p/>
    <w:p>
      <w:pPr>
        <w:pStyle w:val="2"/>
        <w:pageBreakBefore w:val="0"/>
      </w:pPr>
      <w:r>
        <w:rPr>
          <w:rFonts w:ascii="Times New Roman" w:hAnsi="Times New Roman" w:eastAsia="宋体"/>
          <w:b/>
          <w:sz w:val="44"/>
        </w:rPr>
        <w:t>1. 文献速览总结</w:t>
      </w:r>
    </w:p>
    <w:p>
      <w:pPr>
        <w:spacing w:line="360" w:lineRule="auto"/>
        <w:ind w:firstLine="420"/>
      </w:pPr>
      <w:r>
        <w:rPr>
          <w:rFonts w:ascii="Times New Roman" w:hAnsi="Times New Roman" w:eastAsia="宋体"/>
          <w:b w:val="0"/>
          <w:sz w:val="24"/>
        </w:rPr>
        <w:t>本文是薛军民组关于析氧反应（oxygen evolution reaction, OER）结构重构（structural reconstruction）的系统综述，实质是课题组自己的"方向说明书"。核心命题：多数原始 OER 催化剂在阳极条件下经历动态、不可逆的重构，生成过渡金属羟基氧化物（oxyhydroxide, MOOH）作为真正的催化活性物种（real catalytic species）；重构所得 MOOH 与直接合成的同类材料化学上基本相同却普遍活性更优，"为什么更优"正是本文要回答的问题（p.1–2）。</w:t>
      </w:r>
    </w:p>
    <w:p>
      <w:pPr>
        <w:spacing w:line="360" w:lineRule="auto"/>
        <w:ind w:firstLine="420"/>
      </w:pPr>
      <w:r>
        <w:rPr>
          <w:rFonts w:ascii="Times New Roman" w:hAnsi="Times New Roman" w:eastAsia="宋体"/>
          <w:b w:val="0"/>
          <w:sz w:val="24"/>
        </w:rPr>
        <w:t>全文八节：第 2 节 OER 机制与活性描述符；第 3 节四类重构机制；第 4 节决定重构衍生 MOOH 活性的六个因素；第 5 节推荐表征技术与探测深度图；第 6 节酸性介质中的结构重构；第 8 节六条未来方向（p.2）。文中大量引用薛组自有工作（COM 机制 Nature 2022、e_g 带展宽 EES 2023、纳米带 Ni(OH)₂ EES 2020、LOM 基氧化物自发重构 Angew. 2023），故其"推荐做法"即该组实验惯例（R0, pp.11–15）。</w:t>
      </w:r>
    </w:p>
    <w:p/>
    <w:p>
      <w:r>
        <w:br w:type="page"/>
      </w:r>
    </w:p>
    <w:p>
      <w:pPr>
        <w:pStyle w:val="2"/>
        <w:pageBreakBefore w:val="0"/>
      </w:pPr>
      <w:r>
        <w:rPr>
          <w:rFonts w:ascii="Times New Roman" w:hAnsi="Times New Roman" w:eastAsia="宋体"/>
          <w:b/>
          <w:sz w:val="44"/>
        </w:rPr>
        <w:t>2. 课题关联分析（与"电沉积 MnO₂ 稳定 Ru 酸性 OER"的直接关联）</w:t>
      </w:r>
    </w:p>
    <w:p>
      <w:pPr>
        <w:spacing w:line="360" w:lineRule="auto"/>
        <w:ind w:firstLine="420"/>
      </w:pPr>
      <w:r>
        <w:rPr>
          <w:rFonts w:ascii="Times New Roman" w:hAnsi="Times New Roman" w:eastAsia="宋体"/>
          <w:b/>
          <w:sz w:val="24"/>
        </w:rPr>
        <w:t>第一，第 6 节给出同一体系的直接先例，是选题合法性的核心依据。</w:t>
      </w:r>
      <w:r>
        <w:rPr>
          <w:rFonts w:ascii="Times New Roman" w:hAnsi="Times New Roman" w:eastAsia="宋体"/>
          <w:b w:val="0"/>
          <w:sz w:val="24"/>
        </w:rPr>
        <w:t xml:space="preserve"> 文中明确：Ru 基氧化物酸性 OER 性能优异但耐久性差，根源是 Ru 易过氧化为溶解态 RuO₄ 物种、以及 LOM 参与析氧（p.15）。由此提出两条稳定化策略——把金属限域为单原子位点（single-atom site），或提高氧空位形成能（oxygen vacancy formation energy）；W/Er 共掺杂 RuO₂ 属后者：掺杂使 O 2p 带中心下移远离费米能级、不利氧空位生成，最终 10 mA cm⁻² 过电位 168 mV、酸性耐久 500 h（p.15）。</w:t>
      </w:r>
    </w:p>
    <w:p>
      <w:pPr>
        <w:spacing w:line="360" w:lineRule="auto"/>
        <w:ind w:firstLine="420"/>
      </w:pPr>
      <w:r>
        <w:rPr>
          <w:rFonts w:ascii="Times New Roman" w:hAnsi="Times New Roman" w:eastAsia="宋体"/>
          <w:b w:val="0"/>
          <w:sz w:val="24"/>
        </w:rPr>
        <w:t xml:space="preserve">更关键的是本文专门记载了 Lin C. 等的 Ru 原子阵列/α-MnO₂ 体系：以一步阳离子交换（cation exchange）把 Ru 负载于 α-MnO₂ 纳米纤维，析氧中 Mn 与 Ru 继续交换，原位重构把小 Ru 聚集体长成大 Ru 原子阵列 patch；重构后位点对称，走氧化物路径机制（oxide path mechanism, OPM）而不形成氧空位，Ru/MnO₂ 在 10 mA cm⁻² 下过电位仅 161 mV、稳定性 &gt;200 h（p.15–16）。同节给出 Ir 基焦绿石（Pr₂Ir₂O₇、Eu₂Ir₂O₇、Lu₂Ir₂O₇）重构为 </w:t>
      </w:r>
      <w:r>
        <w:rPr>
          <w:rFonts w:ascii="Times New Roman" w:hAnsi="Times New Roman" w:eastAsia="宋体"/>
          <w:b w:val="0"/>
          <w:sz w:val="24"/>
        </w:rPr>
        <w:t>[</w:t>
      </w:r>
      <w:r>
        <w:rPr>
          <w:rFonts w:ascii="Times New Roman" w:hAnsi="Times New Roman" w:eastAsia="宋体"/>
          <w:b w:val="0"/>
          <w:sz w:val="24"/>
        </w:rPr>
        <w:t>IrO₆]–</w:t>
      </w:r>
      <w:r>
        <w:rPr>
          <w:rFonts w:ascii="Times New Roman" w:hAnsi="Times New Roman" w:eastAsia="宋体"/>
          <w:b w:val="0"/>
          <w:sz w:val="24"/>
        </w:rPr>
        <w:t>[</w:t>
      </w:r>
      <w:r>
        <w:rPr>
          <w:rFonts w:ascii="Times New Roman" w:hAnsi="Times New Roman" w:eastAsia="宋体"/>
          <w:b w:val="0"/>
          <w:sz w:val="24"/>
        </w:rPr>
        <w:t>IrO₆] 框架，畸变越强则 O 2p 带中心越高、Ir–O 杂化越强、活性越好（p.16）——"局域畸变调控氧带位置"在酸性体系已被验证。</w:t>
      </w:r>
    </w:p>
    <w:p>
      <w:pPr>
        <w:spacing w:line="360" w:lineRule="auto"/>
        <w:ind w:firstLine="420"/>
      </w:pPr>
      <w:r>
        <w:rPr>
          <w:rFonts w:ascii="Times New Roman" w:hAnsi="Times New Roman" w:eastAsia="宋体"/>
          <w:b/>
          <w:sz w:val="24"/>
        </w:rPr>
        <w:t>第二，方法学可整体照搬。</w:t>
      </w:r>
      <w:r>
        <w:rPr>
          <w:rFonts w:ascii="Times New Roman" w:hAnsi="Times New Roman" w:eastAsia="宋体"/>
          <w:b w:val="0"/>
          <w:sz w:val="24"/>
        </w:rPr>
        <w:t xml:space="preserve"> 电沉积 MnO₂ 在阳极活化下必然经历重构，而本文指出 CV 处理导致完全原位氧化、计时电位（chronopotentiometry, CP）处理只造成部分重构（p.6），故"电化学活化协议"必须作为独立变量写入记录；"先完全重构、再解析结构"的原则（p.11）同样适用。</w:t>
      </w:r>
    </w:p>
    <w:p>
      <w:pPr>
        <w:spacing w:line="360" w:lineRule="auto"/>
        <w:ind w:firstLine="420"/>
      </w:pPr>
      <w:r>
        <w:rPr>
          <w:rFonts w:ascii="Times New Roman" w:hAnsi="Times New Roman" w:eastAsia="宋体"/>
          <w:b/>
          <w:sz w:val="24"/>
        </w:rPr>
        <w:t>第三，机制语言可直接对接。</w:t>
      </w:r>
      <w:r>
        <w:rPr>
          <w:rFonts w:ascii="Times New Roman" w:hAnsi="Times New Roman" w:eastAsia="宋体"/>
          <w:b w:val="0"/>
          <w:sz w:val="24"/>
        </w:rPr>
        <w:t xml:space="preserve"> 抑制 LOM 的关键是调控非键氧 2p 态与费米能级的相对位置，进而调控氧空位形成能与氧离子扩散速率（p.6、p.15）；Ru–O–Mn 界面耦合即可理解为把界面氧的能带位置与氧空位形成能推离溶解窗口（R2）。此外第 8.1 节把 </w:t>
      </w:r>
      <w:r>
        <w:rPr>
          <w:rFonts w:ascii="Times New Roman" w:hAnsi="Times New Roman" w:eastAsia="宋体"/>
          <w:b/>
          <w:sz w:val="24"/>
        </w:rPr>
        <w:t>Mn 与 Al、V 并列为 OER 惰性掺杂元素</w:t>
      </w:r>
      <w:r>
        <w:rPr>
          <w:rFonts w:ascii="Times New Roman" w:hAnsi="Times New Roman" w:eastAsia="宋体"/>
          <w:b w:val="0"/>
          <w:sz w:val="24"/>
        </w:rPr>
        <w:t>，建议掺入 NiOOH 以剥离 e_g 带展宽的贡献（p.18；详见第六节，R0）。</w:t>
      </w:r>
    </w:p>
    <w:p/>
    <w:p>
      <w:r>
        <w:br w:type="page"/>
      </w:r>
    </w:p>
    <w:p>
      <w:pPr>
        <w:pStyle w:val="2"/>
        <w:pageBreakBefore w:val="0"/>
      </w:pPr>
      <w:r>
        <w:rPr>
          <w:rFonts w:ascii="Times New Roman" w:hAnsi="Times New Roman" w:eastAsia="宋体"/>
          <w:b/>
          <w:sz w:val="44"/>
        </w:rPr>
        <w:t>3. 内容深度解读（含关键数据与机制，逐条标 R0 页码）</w:t>
      </w:r>
    </w:p>
    <w:p>
      <w:pPr>
        <w:spacing w:line="360" w:lineRule="auto"/>
        <w:ind w:firstLine="420"/>
      </w:pPr>
      <w:r>
        <w:rPr>
          <w:rFonts w:ascii="Times New Roman" w:hAnsi="Times New Roman" w:eastAsia="宋体"/>
          <w:b/>
          <w:sz w:val="24"/>
        </w:rPr>
        <w:t>（1）三种机制模型（pp.2–4）。</w:t>
      </w:r>
      <w:r>
        <w:rPr>
          <w:rFonts w:ascii="Times New Roman" w:hAnsi="Times New Roman" w:eastAsia="宋体"/>
          <w:b w:val="0"/>
          <w:sz w:val="24"/>
        </w:rPr>
        <w:t xml:space="preserve"> AEM 走四步协同质子—电子转移，中间体为 OH、O、OOH、O₂；理想每步自由能垒应为 4.92 eV/4 = 1.23 eV，但 OH 与 OOH 均以单键经一个 O 原子结合表面，存在恒定标度关系 ΔG_OOH − ΔG_OH = 3.2 eV，故 AEM 基氧化物理论最小过电位仅 0.4–0.2 V；可用 (ΔG_O − ΔG_OH) 作唯一描述符，最优值约 1.6 eV（p.2）。LOM 走氧的氧化还原：两个非键 OH 先去质子化（不传电子），O²⁻ 失电子成两个 O⁻，二者耦合成 (O–O)²⁻，再失两电子放出 O₂，空位由 OH⁻ 回填；触发前提是非键氧态形成、且能级高于 M–O 成键带并靠近费米能级，可用上/下哈伯德带能量差 U 与电荷转移能隙 Δ 判别（p.4）。COM 为作者组提出：光照触发 (M–O)→d_z² 电子转移，NiO₆ 八面体变 NiO₄ 平面四方、两个 O⁻ 耦合成 O₂，因去质子在金属带、O–O 耦联在氧态而绕开 AEM 的 OOH 速控步（pp.4–5）；本文还用 COM 解释矛盾——自然光照下测到 Fe 掺杂 NiFe 羟基氧化物存在 (O–O) 耦联，暗条件下 ¹⁸O 标记却测得走 AEM（p.11）。</w:t>
      </w:r>
    </w:p>
    <w:p>
      <w:pPr>
        <w:spacing w:line="360" w:lineRule="auto"/>
        <w:ind w:firstLine="420"/>
      </w:pPr>
      <w:r>
        <w:rPr>
          <w:rFonts w:ascii="Times New Roman" w:hAnsi="Times New Roman" w:eastAsia="宋体"/>
          <w:b/>
          <w:sz w:val="24"/>
        </w:rPr>
        <w:t>（2）四类重构机制与证据链（pp.5–7）。</w:t>
      </w:r>
      <w:r>
        <w:rPr>
          <w:rFonts w:ascii="Times New Roman" w:hAnsi="Times New Roman" w:eastAsia="宋体"/>
          <w:b w:val="0"/>
          <w:sz w:val="24"/>
        </w:rPr>
        <w:t xml:space="preserve"> ① 晶格氧析出诱导：BSCF（Ba₀.₅Sr₀.₅Co₀.₈Fe₀.₂O₃₋δ）因氧 2p 能级贴近费米能级而快速表面重构，La₀.₄Sr₀.₆CoO₃₋δ 与 LaCoO₃₋δ 在 OER 后仍保持晶态表面（p.5）；LaNiO₃ 薄膜中的二维缺陷造成 NiO₆ 四方畸变，缺陷处非晶化更快（p.6）；Schmidt 等提出 LOM 介导的溶解/再沉积：BSCF 中 Ba²⁺、Sr²⁺ 溶出以平衡氧空位电荷，溶解度低的 B 位 Co、Fe 再沉积为表面羟基氧化物层（p.6）。薛组进一步证明 LOM 基氧化物的重构是自发化学过程而非电化学反应：SrCoO₃ 浸入 1 M KOH 即出现表面重构与最外层 Sr 大量溶解，Co L-edge EELS 与 NEXAFS 表明残余 Co、O 重构为共边层状 CoO₂；该现象只在 LOM 基氧化物出现，AEM 基的 LaFeO₃、LaCoO₃₋δ 几乎无变化（p.6）。② 金属溶出诱导：Li、Ca、Se、Ba、K 等由 Pourbaix 图在宽 pH/电位区间（尤其 1.23 V vs RHE 以上）以离子态存在；CoCr₂O₄ 在 1.5–1.7 V 做 7 h 计时电流，&gt;1.6 V 生成 Co 羟基氧化物，但 ¹⁸O 标记显示晶格氧未参与析氧而溶入电解液（p.6）。③ 阴离子预氧化：S、Se、P、N、Cl、F 被氧化为 XO₄²⁻/XO₄³⁻ 溶出，金属位转为高活性羟基氧化物；薛组的 operando XAS 显示 NiS₂ 在 10 mA cm⁻² 下经 Ni(OH)₂ 中转，8 h 内完全转化为 NiOOH（p.6）。④ 配体取代：MOF 中表面四面体配位的有机配体被 OH⁻ 逐步取代，形成 α-Co(OH)₂ 再相变为 β-Co(OH)₂，终态为 CoOOH，且 α 相本征活性远高于 β 相（p.7、p.20）。四类机制常共同作用：Ni₃N@Ni₃VN 中 V 与 N 协同溶出造缺陷与氧空位（233 mV @50 mA cm⁻²）；FeNiCoCrMnS₂ 中 S 与 Cr 同时浸出并自重构（199 mV @10 mA cm⁻²）（p.7）。</w:t>
      </w:r>
    </w:p>
    <w:p>
      <w:pPr>
        <w:spacing w:line="360" w:lineRule="auto"/>
        <w:ind w:firstLine="420"/>
      </w:pPr>
      <w:r>
        <w:rPr>
          <w:rFonts w:ascii="Times New Roman" w:hAnsi="Times New Roman" w:eastAsia="宋体"/>
          <w:b/>
          <w:sz w:val="24"/>
        </w:rPr>
        <w:t>（3）决定活性的六个因素（pp.7–11）。</w:t>
      </w:r>
      <w:r>
        <w:rPr>
          <w:rFonts w:ascii="Times New Roman" w:hAnsi="Times New Roman" w:eastAsia="宋体"/>
          <w:b w:val="0"/>
          <w:sz w:val="24"/>
        </w:rPr>
        <w:t xml:space="preserve"> ① 暴露更多活性位：CoOOH 活性主要由边缘晶面（edge facets）贡献，电流几乎只局限在边缘，边缘 Co 氧化态升高伴随 Tafel 斜率上升；薛组把 NiSe₂ 完全转化为约 10 nm 超小 NiOOH，10 mA cm⁻² 过电位 190 mV（pp.7–9）。② 残留阳离子掺杂：V-Ni₂P/NF 中 V 由 0.51 w/w% 降至 0.33 w/w%（ICP），残余 V 原位掺入 NiOOH 促进 OH 吸附与 OOH 去质子化（221 mV）；Fe 掺杂 CoAl₂O₄ 中 Fe 抬高 O 2p 带中心触发 LOM 与重构，而 Al³⁺ 溶出形成阳离子空位又使 O 2p 带下移、晶格氧失活，出现"自终止重构"（self-terminated reconstruction）（p.9）。③ 不饱和配位：非晶 NiFeMo 氧化物重构产生富氧空位（EPR g = 2.002），晶态样品 OER 后几乎无氧空位；薛组非化学计量纳米带 NR-Ni(OH)₂ 边缘呈 4/6 配位交替，过电位 162 mV，DFT 给出其 OOH 速控步过电位仅 0.362 V，远低于 β-NiOOH 的 0.62 V（p.9、p.15）。④ 含氧阴离子吸附：SO₄²⁻ 吸附促进重构（Ni³⁺/Ni²⁺ 还原峰负移约 80 mV，对照样仅约 30 mV），50 mA cm⁻² 过电位降至 234 mV；MoO₄²⁻ 的溶出—再吸附由"换新 KOH 性能衰减、补加 0.05 M 后恢复至 200 mV"证明（pp.9–10）。⑤ 杂化界面（hybrid interface）：CeO₂/Ni–X 界面经强化羟基吸附加速重构，形成富氧空位的 CeO₂–NiOOH 界面；Ni₅P₄@FeP 经 P 溶出与氧化形成非晶 Ni/FeOOH@NiFe₂O₄（205 mV）；Co–Mo₂C 中 Co 快速重构为 γ-CoOOH 且表面富 Mo，Mo 经桥氧 O²⁻ 向 Co 部分转移电子（190 mV）（p.10）。⑥ e_g 带展宽：NiS₂、NiSe₂、Ni₅P₄ 经 10 h、10 mA cm⁻² 完全转化为 X-NiOOH，FT-EXAFS 拟合 Ni–O 键长依次为 2.03916、2.04688、2.04875、2.05876 Å；键长越短应变越强、NiO₆ 畸变越大、e_g 带展宽越显著（O K-edge 534.0 eV 峰变低变宽），脉冲伏安表明展宽促进电子向外部电路转移，且作者已排除氧空位、阳离子空位、电导率与 S/Se/P 掺杂为主因（pp.11、14–15）。</w:t>
      </w:r>
    </w:p>
    <w:p>
      <w:pPr>
        <w:spacing w:line="360" w:lineRule="auto"/>
        <w:ind w:firstLine="420"/>
      </w:pPr>
      <w:r>
        <w:rPr>
          <w:rFonts w:ascii="Times New Roman" w:hAnsi="Times New Roman" w:eastAsia="宋体"/>
          <w:b/>
          <w:sz w:val="24"/>
        </w:rPr>
        <w:t>（4）表征矩阵与本征活性归一化（pp.11–15）。</w:t>
      </w:r>
      <w:r>
        <w:rPr>
          <w:rFonts w:ascii="Times New Roman" w:hAnsi="Times New Roman" w:eastAsia="宋体"/>
          <w:b w:val="0"/>
          <w:sz w:val="24"/>
        </w:rPr>
        <w:t xml:space="preserve"> 探测深度：软 XAS（PEY/FY）、Raman、FTIR、XPS、APT、EPR、TEM、SEM 偏表面敏感，硬 XAS 与 XRD 反映体相（p.11）。动态过程推荐 in situ ETEM（BSCF 结构振荡、SrCoO₃₋δ 振荡限于约 1 nm 表层，AEM 基氧化物无重构，pp.11–12）、in situ Raman/FTIR（NiNPS 体系 0.2 V 出现 463/491 cm⁻¹、0.3–0.5 V 出现 γ-NiOOH 的 477/577 cm⁻¹ 双峰；CoOOH@Fe₃O₄ 体系 1.4 V 出现 CoOOH 峰、同步辐射 FTIR 于 1020 cm⁻¹ 捕获 </w:t>
      </w:r>
      <w:r>
        <w:rPr>
          <w:rFonts w:ascii="Times New Roman" w:hAnsi="Times New Roman" w:eastAsia="宋体"/>
          <w:b w:val="0"/>
          <w:i/>
          <w:sz w:val="24"/>
        </w:rPr>
        <w:t>OOH，p.13）、APT（Co₂FeO₄ 在 100→1000 循环 Co/Fe 比持续升高 = Fe 优先溶解；2–3 nm 富氧层 O/M 比由约 1.4 升至约 1.8，p.13）与 operando XAS（p.13）。静态解析推荐 XAS（白线强度给 NiO₆ 畸变程度、O K-edge 给 e_g</w:t>
      </w:r>
      <w:r>
        <w:rPr>
          <w:rFonts w:ascii="Times New Roman" w:hAnsi="Times New Roman" w:eastAsia="宋体"/>
          <w:b w:val="0"/>
          <w:sz w:val="24"/>
        </w:rPr>
        <w:t xml:space="preserve"> 展宽）、EPR（氧空位、高自旋 Co³⁺）、ABF-STEM 与 DFT/AIMD（pp.14–15）。本征活性判定必须扣除表面积与载量贡献（p.9）。</w:t>
      </w:r>
    </w:p>
    <w:p/>
    <w:p>
      <w:r>
        <w:br w:type="page"/>
      </w:r>
    </w:p>
    <w:p>
      <w:pPr>
        <w:pStyle w:val="2"/>
        <w:pageBreakBefore w:val="0"/>
      </w:pPr>
      <w:r>
        <w:rPr>
          <w:rFonts w:ascii="Times New Roman" w:hAnsi="Times New Roman" w:eastAsia="宋体"/>
          <w:b/>
          <w:sz w:val="44"/>
        </w:rPr>
        <w:t>4. 技术难点识别</w:t>
      </w:r>
    </w:p>
    <w:p>
      <w:pPr>
        <w:spacing w:line="360" w:lineRule="auto"/>
        <w:ind w:firstLine="420"/>
      </w:pPr>
      <w:r>
        <w:rPr>
          <w:rFonts w:ascii="Times New Roman" w:hAnsi="Times New Roman" w:eastAsia="宋体"/>
          <w:b w:val="0"/>
          <w:sz w:val="24"/>
        </w:rPr>
        <w:t>（1）重构程度不可控：随 CV/CP 处理方式、温度、pH 变化，既影响活性也复杂化构效关系解读（pp.6–7、11）。（2）部分重构使结构信息失真，必须"完全转化"为 MOOH 才能得到可靠结构（p.11）。（3）NiOOH 自身不稳定、会通过质子吸附自放电；作者在测 XAS 前先用乙醇把 X-NiOOH 完全还原为 Ni(OH)₂ 以排除干扰（p.14）——此预处理细节极易被忽略。（4）活性物种归属困难：表面含氧中间体既可能来自电解液也可能来自晶格氧，且释放晶格氧后的空位会被 OH⁻ 回填，二者难以区分（p.14）。（5）</w:t>
      </w:r>
      <w:r>
        <w:rPr>
          <w:rFonts w:ascii="Times New Roman" w:hAnsi="Times New Roman" w:eastAsia="宋体"/>
          <w:b/>
          <w:sz w:val="24"/>
        </w:rPr>
        <w:t>酸性 OER 部分明显偏薄</w:t>
      </w:r>
      <w:r>
        <w:rPr>
          <w:rFonts w:ascii="Times New Roman" w:hAnsi="Times New Roman" w:eastAsia="宋体"/>
          <w:b w:val="0"/>
          <w:sz w:val="24"/>
        </w:rPr>
        <w:t>：25 页中仅约 1.5 页（pp.15–16），集中于 Ir/Ru 贵金属，对 Mn 基材料在酸性下的重构行为基本未讨论（R0）。（6）</w:t>
      </w:r>
      <w:r>
        <w:rPr>
          <w:rFonts w:ascii="Times New Roman" w:hAnsi="Times New Roman" w:eastAsia="宋体"/>
          <w:b/>
          <w:sz w:val="24"/>
        </w:rPr>
        <w:t>全文未给出 S-number、ICP-MS 溶出速率（ng cm⁻² h⁻¹ 或 ppb 级）与 Tafel 斜率数值</w:t>
      </w:r>
      <w:r>
        <w:rPr>
          <w:rFonts w:ascii="Times New Roman" w:hAnsi="Times New Roman" w:eastAsia="宋体"/>
          <w:b w:val="0"/>
          <w:sz w:val="24"/>
        </w:rPr>
        <w:t>，仅见一处 Tafel 斜率定性描述（p.7），定量稳定性指标须另找原始文献（R0）。</w:t>
      </w:r>
    </w:p>
    <w:p/>
    <w:p>
      <w:r>
        <w:br w:type="page"/>
      </w:r>
    </w:p>
    <w:p>
      <w:pPr>
        <w:pStyle w:val="2"/>
        <w:pageBreakBefore w:val="0"/>
      </w:pPr>
      <w:r>
        <w:rPr>
          <w:rFonts w:ascii="Times New Roman" w:hAnsi="Times New Roman" w:eastAsia="宋体"/>
          <w:b/>
          <w:sz w:val="44"/>
        </w:rPr>
        <w:t>5. 可借鉴点（对实验设计直接可用：合成 / 表征 / 电化学测试 / 稳定性评价）</w:t>
      </w:r>
    </w:p>
    <w:p>
      <w:pPr>
        <w:spacing w:line="360" w:lineRule="auto"/>
        <w:ind w:firstLine="420"/>
      </w:pPr>
      <w:r>
        <w:rPr>
          <w:rFonts w:ascii="Times New Roman" w:hAnsi="Times New Roman" w:eastAsia="宋体"/>
          <w:b/>
          <w:sz w:val="24"/>
        </w:rPr>
        <w:t>合成</w:t>
      </w:r>
      <w:r>
        <w:rPr>
          <w:rFonts w:ascii="Times New Roman" w:hAnsi="Times New Roman" w:eastAsia="宋体"/>
          <w:b w:val="0"/>
          <w:sz w:val="24"/>
        </w:rPr>
        <w:t>：（a）走"预催化剂 → 阳极原位重构"路线，先电沉积 MnO₂ 再电化学活化；对照样至少四组——纯电沉积 MnO₂、RuO₂ 参比、Ru 浸渍/物理混合于 MnO₂、具 Ru–O–Mn 界面耦合的目标样（R2）。（b）借用"牺牲组分 + 自终止重构"策略（p.9；8.3.2 节建议改用 Zn、Al 等低成本牺牲元素，pp.19–20），让 Mn 承担"部分牺牲 + 自终止"角色，观察重构是否在形成 Ru–O–Mn 界面层后停止（R2）。（c）阴离子调控：电沉积液中引入 S/Se/P 源以借预氧化促进重构（pp.6、10）。</w:t>
      </w:r>
    </w:p>
    <w:p>
      <w:pPr>
        <w:spacing w:line="360" w:lineRule="auto"/>
        <w:ind w:firstLine="420"/>
      </w:pPr>
      <w:r>
        <w:rPr>
          <w:rFonts w:ascii="Times New Roman" w:hAnsi="Times New Roman" w:eastAsia="宋体"/>
          <w:b/>
          <w:sz w:val="24"/>
        </w:rPr>
        <w:t>表征组合</w:t>
      </w:r>
      <w:r>
        <w:rPr>
          <w:rFonts w:ascii="Times New Roman" w:hAnsi="Times New Roman" w:eastAsia="宋体"/>
          <w:b w:val="0"/>
          <w:sz w:val="24"/>
        </w:rPr>
        <w:t>：先做活化前/后配对 XRD + Raman + XPS + (HR)TEM/EDS；再用同步辐射 XAS 分测 Ru K-edge 与 Mn K-edge，以 FT-EXAFS 拟合 M–O 键长判断应变与八面体畸变（照搬 X-NiOOH 键长排序逻辑，pp.11、14）；O K-edge 软 XAS 于约 534.0 eV 判断 e_g 带展宽（p.14）；EPR 测 g ≈ 2.002 氧空位并与 XPS O 1s 交叉验证（p.9）；in situ Raman 跟踪 Mn–O 振动随电位变化；计时电流下做 operando XAS 跟踪相变，注意完全重构可能需 ≥8 h（p.13）；条件允许时用 ABF-STEM 看界面原子柱位移、APT 看长测后元素再分布（pp.13–14）。</w:t>
      </w:r>
    </w:p>
    <w:p>
      <w:pPr>
        <w:spacing w:line="360" w:lineRule="auto"/>
        <w:ind w:firstLine="420"/>
      </w:pPr>
      <w:r>
        <w:rPr>
          <w:rFonts w:ascii="Times New Roman" w:hAnsi="Times New Roman" w:eastAsia="宋体"/>
          <w:b/>
          <w:sz w:val="24"/>
        </w:rPr>
        <w:t>电化学测试协议</w:t>
      </w:r>
      <w:r>
        <w:rPr>
          <w:rFonts w:ascii="Times New Roman" w:hAnsi="Times New Roman" w:eastAsia="宋体"/>
          <w:b w:val="0"/>
          <w:sz w:val="24"/>
        </w:rPr>
        <w:t>：把"电化学活化协议"作为独立变量完整记录（CV 还是 CP、循环数、电位窗口、扫速），因两者重构程度不同（p.6）；可对照条件如 1 M KOH 中 1.16–1.66 V vs RHE、100 mV s⁻¹、300 循环（p.10），酸性体系用 0.5 M H₂SO₄（p.15）；用脉冲伏安探测电子转移能力（p.11）；活性给出几何面积、ECSA 归一化比活性与质量活性三重口径并扣除载量贡献（p.9）。</w:t>
      </w:r>
    </w:p>
    <w:p>
      <w:pPr>
        <w:spacing w:line="360" w:lineRule="auto"/>
        <w:ind w:firstLine="420"/>
      </w:pPr>
      <w:r>
        <w:rPr>
          <w:rFonts w:ascii="Times New Roman" w:hAnsi="Times New Roman" w:eastAsia="宋体"/>
          <w:b/>
          <w:sz w:val="24"/>
        </w:rPr>
        <w:t>稳定性评价</w:t>
      </w:r>
      <w:r>
        <w:rPr>
          <w:rFonts w:ascii="Times New Roman" w:hAnsi="Times New Roman" w:eastAsia="宋体"/>
          <w:b w:val="0"/>
          <w:sz w:val="24"/>
        </w:rPr>
        <w:t>：目标对标 Ru/MnO₂ 的 &gt;200 h（p.16）与 W/Er-RuO₂ 的 500 h（p.15）；按 100/500/1000 循环分阶段取样做反应后表征，照搬"元素比随循环漂移 = 优先溶解"判据（p.13）；用"更换电解液"实验区分可逆的溶出—再沉积失活与体相失活（参照 MoO₄²⁻ 的 renew KOH 实验，p.10）；溶出定量需自行补充分段取样 ICP-MS（R1：本文未提供方法）；另做电位窗口扫描寻找 MnO₂ 基材料的稳定工作窗口（思路见第二篇报告，CSC-4 p.2208）。</w:t>
      </w:r>
    </w:p>
    <w:p/>
    <w:p>
      <w:r>
        <w:br w:type="page"/>
      </w:r>
    </w:p>
    <w:p>
      <w:pPr>
        <w:pStyle w:val="2"/>
        <w:pageBreakBefore w:val="0"/>
      </w:pPr>
      <w:r>
        <w:rPr>
          <w:rFonts w:ascii="Times New Roman" w:hAnsi="Times New Roman" w:eastAsia="宋体"/>
          <w:b/>
          <w:sz w:val="44"/>
        </w:rPr>
        <w:t>6. 延伸思考</w:t>
      </w:r>
    </w:p>
    <w:p>
      <w:pPr>
        <w:spacing w:line="360" w:lineRule="auto"/>
        <w:ind w:firstLine="420"/>
      </w:pPr>
      <w:r>
        <w:rPr>
          <w:rFonts w:ascii="Times New Roman" w:hAnsi="Times New Roman" w:eastAsia="宋体"/>
          <w:b w:val="0"/>
          <w:sz w:val="24"/>
        </w:rPr>
        <w:t>Ru 在酸性 OER 中的失效有两条通道：被过氧化为可溶 RuO₄ 物种，以及 LOM 参与导致晶格氧流失与结构坍塌（p.15）。因此"用 MnO₂ 的氧化还原性稳定 Ru"若落在机制上，最合理的路径不是提高活性，而是</w:t>
      </w:r>
      <w:r>
        <w:rPr>
          <w:rFonts w:ascii="Times New Roman" w:hAnsi="Times New Roman" w:eastAsia="宋体"/>
          <w:b/>
          <w:sz w:val="24"/>
        </w:rPr>
        <w:t>把 Ru 从 LOM 拉回 AEM/OPM</w:t>
      </w:r>
      <w:r>
        <w:rPr>
          <w:rFonts w:ascii="Times New Roman" w:hAnsi="Times New Roman" w:eastAsia="宋体"/>
          <w:b w:val="0"/>
          <w:sz w:val="24"/>
        </w:rPr>
        <w:t>——通过 Ru–O–Mn 界面耦合改变界面氧的 O 2p 带中心与氧空位形成能（R2）；这与 Lin C. 等观测到的 Ru/MnO₂ 重构后走 OPM 且不形成氧空位一致（pp.15–16）。但内在张力在于：O 2p 带中心越靠近费米能级活性越高、越远离越稳定，故 Mn 很可能是在"以部分活性换稳定性"（R2）。</w:t>
      </w:r>
    </w:p>
    <w:p>
      <w:pPr>
        <w:spacing w:line="360" w:lineRule="auto"/>
        <w:ind w:firstLine="420"/>
      </w:pPr>
      <w:r>
        <w:rPr>
          <w:rFonts w:ascii="Times New Roman" w:hAnsi="Times New Roman" w:eastAsia="宋体"/>
          <w:b w:val="0"/>
          <w:sz w:val="24"/>
        </w:rPr>
        <w:t>第 8.1 节把 Mn 与 Al、V 并列为 OER 惰性掺杂元素（p.18），既支持"Mn 为结构稳定剂而非活性位"，也意味着需专门证据（Mn 位点 operando XAS 价态变化、Mn 溶出量）来证明或否证 Mn 是否参与氧化还原循环（R2）。空白点与风险：本文酸性部分几乎不涉及 Mn 基材料，"Mn–Ru 阳离子交换重构"仅 Lin C. 等一例（pp.15–16），故需自行建立"MnO₂ 在酸性 OER 下的重构行为基线"（不同电位/时间下的相演化与溶出曲线），这既是创新点也是最大不确定性（R2）。</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报告完 · 证据优先（R0/R1/R2 分级）</w:t>
      </w:r>
    </w:p>
    <w:p/>
    <w:p>
      <w:pPr>
        <w:spacing w:before="120" w:after="120"/>
        <w:pBdr>
          <w:bottom w:val="single" w:sz="6" w:color="CCCCCC"/>
        </w:pBdr>
      </w:pPr>
    </w:p>
    <w:p/>
    <w:p>
      <w:pPr>
        <w:spacing w:before="120" w:after="120"/>
        <w:ind w:left="567" w:right="567"/>
        <w:pBdr>
          <w:left w:val="single" w:sz="12" w:color="6366F1"/>
        </w:pBdr>
      </w:pPr>
      <w:r>
        <w:rPr>
          <w:rFonts w:ascii="Times New Roman" w:hAnsi="Times New Roman" w:eastAsia="宋体"/>
          <w:b w:val="0"/>
          <w:sz w:val="24"/>
        </w:rPr>
        <w:t xml:space="preserve">📌 </w:t>
      </w:r>
      <w:r>
        <w:rPr>
          <w:rFonts w:ascii="Times New Roman" w:hAnsi="Times New Roman" w:eastAsia="宋体"/>
          <w:b/>
          <w:sz w:val="24"/>
        </w:rPr>
        <w:t>署名核实（2026-09-18，DSH 用 Crossref 复核）</w:t>
      </w:r>
      <w:r>
        <w:rPr>
          <w:rFonts w:ascii="Times New Roman" w:hAnsi="Times New Roman" w:eastAsia="宋体"/>
          <w:b w:val="0"/>
          <w:sz w:val="24"/>
        </w:rPr>
        <w:t xml:space="preserve">：先例论文 </w:t>
      </w:r>
      <w:r>
        <w:rPr>
          <w:rFonts w:ascii="Times New Roman" w:hAnsi="Times New Roman" w:eastAsia="宋体"/>
          <w:b w:val="0"/>
          <w:i/>
          <w:sz w:val="24"/>
        </w:rPr>
        <w:t>In-situ reconstructed Ru atom array on α-MnO₂</w:t>
      </w:r>
      <w:r>
        <w:rPr>
          <w:rFonts w:ascii="Times New Roman" w:hAnsi="Times New Roman" w:eastAsia="宋体"/>
          <w:b w:val="0"/>
          <w:sz w:val="24"/>
        </w:rPr>
        <w:t xml:space="preserve"> 的</w:t>
      </w:r>
      <w:r>
        <w:rPr>
          <w:rFonts w:ascii="Times New Roman" w:hAnsi="Times New Roman" w:eastAsia="宋体"/>
          <w:b/>
          <w:sz w:val="24"/>
        </w:rPr>
        <w:t>第一作者为 Lin Chao（林超）</w:t>
      </w:r>
      <w:r>
        <w:rPr>
          <w:rFonts w:ascii="Times New Roman" w:hAnsi="Times New Roman" w:eastAsia="宋体"/>
          <w:b w:val="0"/>
          <w:sz w:val="24"/>
        </w:rPr>
        <w:t>，通讯作者含 Liu Zhi-Pan、Jiang Zheng、</w:t>
      </w:r>
      <w:r>
        <w:rPr>
          <w:rFonts w:ascii="Times New Roman" w:hAnsi="Times New Roman" w:eastAsia="宋体"/>
          <w:b/>
          <w:sz w:val="24"/>
        </w:rPr>
        <w:t>Lee Jung-Ho</w:t>
      </w:r>
      <w:r>
        <w:rPr>
          <w:rFonts w:ascii="Times New Roman" w:hAnsi="Times New Roman" w:eastAsia="宋体"/>
          <w:b w:val="0"/>
          <w:sz w:val="24"/>
        </w:rPr>
        <w:t xml:space="preserve">——故本报告早期出现的"Lee 等"系误记（Lee 为通讯作者），正确引用应为 </w:t>
      </w:r>
      <w:r>
        <w:rPr>
          <w:rFonts w:ascii="Times New Roman" w:hAnsi="Times New Roman" w:eastAsia="宋体"/>
          <w:b/>
          <w:sz w:val="24"/>
        </w:rPr>
        <w:t>Lin C. et al., Nat. Catal. 2021, 4, 1012–1023</w:t>
      </w:r>
      <w:r>
        <w:rPr>
          <w:rFonts w:ascii="Times New Roman" w:hAnsi="Times New Roman" w:eastAsia="宋体"/>
          <w:b w:val="0"/>
          <w:sz w:val="24"/>
        </w:rPr>
        <w:t>（DOI 10.1038/s41929-021-00703-0）。</w:t>
      </w:r>
    </w:p>
    <w:sectPr>
      <w:headerReference r:id="rId5" w:type="default"/>
      <w:footerReference r:id="rId6" w:type="default"/>
      <w:pgSz w:w="11906" w:h="16838"/>
      <w:pgMar w:top="1440" w:right="1644" w:bottom="1440" w:left="1797" w:header="851" w:footer="851"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top w:val="single" w:color="auto" w:sz="4" w:space="1"/>
      </w:pBdr>
      <w:jc w:val="right"/>
    </w:pPr>
    <w:sdt>
      <w:sdtPr>
        <w:id w:val="-1"/>
      </w:sdtPr>
      <w:sdtContent>
        <w:r>
          <w:fldChar w:fldCharType="begin"/>
        </w:r>
        <w:r>
          <w:instrText xml:space="preserve">PAGE   \* MERGEFORMAT</w:instrText>
        </w:r>
        <w:r>
          <w:fldChar w:fldCharType="separate"/>
        </w:r>
        <w:r>
          <w:rPr>
            <w:lang w:val="zh-CN"/>
          </w:rPr>
          <w:t>5</w:t>
        </w:r>
        <w: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none" w:color="auto" w:sz="0" w:space="0"/>
      </w:pBdr>
      <w:tabs>
        <w:tab w:val="left" w:pos="260"/>
      </w:tabs>
      <w:jc w:val="left"/>
      <w:rPr>
        <w:rFonts w:hint="eastAsia" w:eastAsia="宋体"/>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336078"/>
    <w:multiLevelType w:val="multilevel"/>
    <w:tmpl w:val="0E336078"/>
    <w:lvl w:ilvl="0" w:tentative="0">
      <w:start w:val="1"/>
      <w:numFmt w:val="bullet"/>
      <w:pStyle w:val="43"/>
      <w:lvlText w:val=""/>
      <w:lvlJc w:val="left"/>
      <w:pPr>
        <w:ind w:left="1200" w:hanging="420"/>
      </w:pPr>
      <w:rPr>
        <w:rFonts w:hint="default" w:ascii="Wingdings" w:hAnsi="Wingdings"/>
      </w:rPr>
    </w:lvl>
    <w:lvl w:ilvl="1" w:tentative="0">
      <w:start w:val="1"/>
      <w:numFmt w:val="bullet"/>
      <w:lvlText w:val=""/>
      <w:lvlJc w:val="left"/>
      <w:pPr>
        <w:tabs>
          <w:tab w:val="left" w:pos="1620"/>
        </w:tabs>
        <w:ind w:left="1620" w:hanging="420"/>
      </w:pPr>
      <w:rPr>
        <w:rFonts w:hint="default" w:ascii="Wingdings" w:hAnsi="Wingdings"/>
      </w:rPr>
    </w:lvl>
    <w:lvl w:ilvl="2" w:tentative="0">
      <w:start w:val="1"/>
      <w:numFmt w:val="bullet"/>
      <w:lvlText w:val=""/>
      <w:lvlJc w:val="left"/>
      <w:pPr>
        <w:tabs>
          <w:tab w:val="left" w:pos="2040"/>
        </w:tabs>
        <w:ind w:left="2040" w:hanging="420"/>
      </w:pPr>
      <w:rPr>
        <w:rFonts w:hint="default" w:ascii="Wingdings" w:hAnsi="Wingdings"/>
      </w:rPr>
    </w:lvl>
    <w:lvl w:ilvl="3" w:tentative="0">
      <w:start w:val="1"/>
      <w:numFmt w:val="bullet"/>
      <w:lvlText w:val=""/>
      <w:lvlJc w:val="left"/>
      <w:pPr>
        <w:tabs>
          <w:tab w:val="left" w:pos="2460"/>
        </w:tabs>
        <w:ind w:left="2460" w:hanging="420"/>
      </w:pPr>
      <w:rPr>
        <w:rFonts w:hint="default" w:ascii="Wingdings" w:hAnsi="Wingdings"/>
      </w:rPr>
    </w:lvl>
    <w:lvl w:ilvl="4" w:tentative="0">
      <w:start w:val="1"/>
      <w:numFmt w:val="bullet"/>
      <w:lvlText w:val=""/>
      <w:lvlJc w:val="left"/>
      <w:pPr>
        <w:tabs>
          <w:tab w:val="left" w:pos="2880"/>
        </w:tabs>
        <w:ind w:left="2880" w:hanging="420"/>
      </w:pPr>
      <w:rPr>
        <w:rFonts w:hint="default" w:ascii="Wingdings" w:hAnsi="Wingdings"/>
      </w:rPr>
    </w:lvl>
    <w:lvl w:ilvl="5" w:tentative="0">
      <w:start w:val="1"/>
      <w:numFmt w:val="bullet"/>
      <w:lvlText w:val=""/>
      <w:lvlJc w:val="left"/>
      <w:pPr>
        <w:tabs>
          <w:tab w:val="left" w:pos="3300"/>
        </w:tabs>
        <w:ind w:left="3300" w:hanging="420"/>
      </w:pPr>
      <w:rPr>
        <w:rFonts w:hint="default" w:ascii="Wingdings" w:hAnsi="Wingdings"/>
      </w:rPr>
    </w:lvl>
    <w:lvl w:ilvl="6" w:tentative="0">
      <w:start w:val="1"/>
      <w:numFmt w:val="bullet"/>
      <w:lvlText w:val=""/>
      <w:lvlJc w:val="left"/>
      <w:pPr>
        <w:tabs>
          <w:tab w:val="left" w:pos="3720"/>
        </w:tabs>
        <w:ind w:left="3720" w:hanging="420"/>
      </w:pPr>
      <w:rPr>
        <w:rFonts w:hint="default" w:ascii="Wingdings" w:hAnsi="Wingdings"/>
      </w:rPr>
    </w:lvl>
    <w:lvl w:ilvl="7" w:tentative="0">
      <w:start w:val="1"/>
      <w:numFmt w:val="bullet"/>
      <w:lvlText w:val=""/>
      <w:lvlJc w:val="left"/>
      <w:pPr>
        <w:tabs>
          <w:tab w:val="left" w:pos="4140"/>
        </w:tabs>
        <w:ind w:left="4140" w:hanging="420"/>
      </w:pPr>
      <w:rPr>
        <w:rFonts w:hint="default" w:ascii="Wingdings" w:hAnsi="Wingdings"/>
      </w:rPr>
    </w:lvl>
    <w:lvl w:ilvl="8" w:tentative="0">
      <w:start w:val="1"/>
      <w:numFmt w:val="bullet"/>
      <w:lvlText w:val=""/>
      <w:lvlJc w:val="left"/>
      <w:pPr>
        <w:tabs>
          <w:tab w:val="left" w:pos="4560"/>
        </w:tabs>
        <w:ind w:left="4560" w:hanging="420"/>
      </w:pPr>
      <w:rPr>
        <w:rFonts w:hint="default" w:ascii="Wingdings" w:hAnsi="Wingdings"/>
      </w:rPr>
    </w:lvl>
  </w:abstractNum>
  <w:abstractNum w:abstractNumId="1">
    <w:nsid w:val="18262C5A"/>
    <w:multiLevelType w:val="multilevel"/>
    <w:tmpl w:val="18262C5A"/>
    <w:lvl w:ilvl="0" w:tentative="0">
      <w:start w:val="1"/>
      <w:numFmt w:val="decimal"/>
      <w:pStyle w:val="57"/>
      <w:lvlText w:val="步骤%1."/>
      <w:lvlJc w:val="left"/>
      <w:pPr>
        <w:tabs>
          <w:tab w:val="left" w:pos="1276"/>
        </w:tabs>
        <w:ind w:left="1276" w:hanging="879"/>
      </w:pPr>
      <w:rPr>
        <w:rFonts w:hint="default" w:ascii="Times New Roman" w:hAnsi="Times New Roman" w:eastAsia="宋体"/>
        <w:b w:val="0"/>
        <w:bCs w:val="0"/>
        <w:i w:val="0"/>
        <w:iCs w:val="0"/>
        <w:caps w:val="0"/>
        <w:smallCaps w:val="0"/>
        <w:strike w:val="0"/>
        <w:dstrike w:val="0"/>
        <w:outline w:val="0"/>
        <w:shadow w:val="0"/>
        <w:emboss w:val="0"/>
        <w:imprint w:val="0"/>
        <w:snapToGrid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lowerLetter"/>
      <w:lvlText w:val="%2)"/>
      <w:lvlJc w:val="left"/>
      <w:pPr>
        <w:tabs>
          <w:tab w:val="left" w:pos="1469"/>
        </w:tabs>
        <w:ind w:left="1469" w:hanging="420"/>
      </w:pPr>
      <w:rPr>
        <w:rFonts w:hint="eastAsia"/>
      </w:rPr>
    </w:lvl>
    <w:lvl w:ilvl="2" w:tentative="0">
      <w:start w:val="1"/>
      <w:numFmt w:val="lowerRoman"/>
      <w:lvlText w:val="%3."/>
      <w:lvlJc w:val="right"/>
      <w:pPr>
        <w:tabs>
          <w:tab w:val="left" w:pos="1889"/>
        </w:tabs>
        <w:ind w:left="1889" w:hanging="420"/>
      </w:pPr>
      <w:rPr>
        <w:rFonts w:hint="eastAsia"/>
      </w:rPr>
    </w:lvl>
    <w:lvl w:ilvl="3" w:tentative="0">
      <w:start w:val="1"/>
      <w:numFmt w:val="decimal"/>
      <w:lvlText w:val="%4."/>
      <w:lvlJc w:val="left"/>
      <w:pPr>
        <w:tabs>
          <w:tab w:val="left" w:pos="2309"/>
        </w:tabs>
        <w:ind w:left="2309" w:hanging="420"/>
      </w:pPr>
      <w:rPr>
        <w:rFonts w:hint="eastAsia"/>
      </w:rPr>
    </w:lvl>
    <w:lvl w:ilvl="4" w:tentative="0">
      <w:start w:val="1"/>
      <w:numFmt w:val="lowerLetter"/>
      <w:lvlText w:val="%5)"/>
      <w:lvlJc w:val="left"/>
      <w:pPr>
        <w:tabs>
          <w:tab w:val="left" w:pos="2729"/>
        </w:tabs>
        <w:ind w:left="2729" w:hanging="420"/>
      </w:pPr>
      <w:rPr>
        <w:rFonts w:hint="eastAsia"/>
      </w:rPr>
    </w:lvl>
    <w:lvl w:ilvl="5" w:tentative="0">
      <w:start w:val="1"/>
      <w:numFmt w:val="lowerRoman"/>
      <w:lvlText w:val="%6."/>
      <w:lvlJc w:val="right"/>
      <w:pPr>
        <w:tabs>
          <w:tab w:val="left" w:pos="3149"/>
        </w:tabs>
        <w:ind w:left="3149" w:hanging="420"/>
      </w:pPr>
      <w:rPr>
        <w:rFonts w:hint="eastAsia"/>
      </w:rPr>
    </w:lvl>
    <w:lvl w:ilvl="6" w:tentative="0">
      <w:start w:val="1"/>
      <w:numFmt w:val="decimal"/>
      <w:lvlText w:val="%7."/>
      <w:lvlJc w:val="left"/>
      <w:pPr>
        <w:tabs>
          <w:tab w:val="left" w:pos="3569"/>
        </w:tabs>
        <w:ind w:left="3569" w:hanging="420"/>
      </w:pPr>
      <w:rPr>
        <w:rFonts w:hint="eastAsia"/>
      </w:rPr>
    </w:lvl>
    <w:lvl w:ilvl="7" w:tentative="0">
      <w:start w:val="1"/>
      <w:numFmt w:val="lowerLetter"/>
      <w:lvlText w:val="%8)"/>
      <w:lvlJc w:val="left"/>
      <w:pPr>
        <w:tabs>
          <w:tab w:val="left" w:pos="3989"/>
        </w:tabs>
        <w:ind w:left="3989" w:hanging="420"/>
      </w:pPr>
      <w:rPr>
        <w:rFonts w:hint="eastAsia"/>
      </w:rPr>
    </w:lvl>
    <w:lvl w:ilvl="8" w:tentative="0">
      <w:start w:val="1"/>
      <w:numFmt w:val="lowerRoman"/>
      <w:lvlText w:val="%9."/>
      <w:lvlJc w:val="right"/>
      <w:pPr>
        <w:tabs>
          <w:tab w:val="left" w:pos="4409"/>
        </w:tabs>
        <w:ind w:left="4409" w:hanging="420"/>
      </w:pPr>
      <w:rPr>
        <w:rFonts w:hint="eastAsia"/>
      </w:rPr>
    </w:lvl>
  </w:abstractNum>
  <w:abstractNum w:abstractNumId="2">
    <w:nsid w:val="3F9E4C1A"/>
    <w:multiLevelType w:val="multilevel"/>
    <w:tmpl w:val="3F9E4C1A"/>
    <w:lvl w:ilvl="0" w:tentative="0">
      <w:start w:val="1"/>
      <w:numFmt w:val="bullet"/>
      <w:pStyle w:val="47"/>
      <w:lvlText w:val=""/>
      <w:lvlJc w:val="left"/>
      <w:pPr>
        <w:tabs>
          <w:tab w:val="left" w:pos="1200"/>
        </w:tabs>
        <w:ind w:left="1200" w:hanging="420"/>
      </w:pPr>
      <w:rPr>
        <w:rFonts w:hint="default" w:ascii="Wingdings" w:hAnsi="Wingdings"/>
      </w:rPr>
    </w:lvl>
    <w:lvl w:ilvl="1" w:tentative="0">
      <w:start w:val="1"/>
      <w:numFmt w:val="bullet"/>
      <w:lvlText w:val=""/>
      <w:lvlJc w:val="left"/>
      <w:pPr>
        <w:tabs>
          <w:tab w:val="left" w:pos="1620"/>
        </w:tabs>
        <w:ind w:left="1620" w:hanging="420"/>
      </w:pPr>
      <w:rPr>
        <w:rFonts w:hint="default" w:ascii="Wingdings" w:hAnsi="Wingdings"/>
      </w:rPr>
    </w:lvl>
    <w:lvl w:ilvl="2" w:tentative="0">
      <w:start w:val="1"/>
      <w:numFmt w:val="bullet"/>
      <w:lvlText w:val=""/>
      <w:lvlJc w:val="left"/>
      <w:pPr>
        <w:tabs>
          <w:tab w:val="left" w:pos="2040"/>
        </w:tabs>
        <w:ind w:left="2040" w:hanging="420"/>
      </w:pPr>
      <w:rPr>
        <w:rFonts w:hint="default" w:ascii="Wingdings" w:hAnsi="Wingdings"/>
      </w:rPr>
    </w:lvl>
    <w:lvl w:ilvl="3" w:tentative="0">
      <w:start w:val="1"/>
      <w:numFmt w:val="bullet"/>
      <w:lvlText w:val=""/>
      <w:lvlJc w:val="left"/>
      <w:pPr>
        <w:tabs>
          <w:tab w:val="left" w:pos="2460"/>
        </w:tabs>
        <w:ind w:left="2460" w:hanging="420"/>
      </w:pPr>
      <w:rPr>
        <w:rFonts w:hint="default" w:ascii="Wingdings" w:hAnsi="Wingdings"/>
      </w:rPr>
    </w:lvl>
    <w:lvl w:ilvl="4" w:tentative="0">
      <w:start w:val="1"/>
      <w:numFmt w:val="bullet"/>
      <w:lvlText w:val=""/>
      <w:lvlJc w:val="left"/>
      <w:pPr>
        <w:tabs>
          <w:tab w:val="left" w:pos="2880"/>
        </w:tabs>
        <w:ind w:left="2880" w:hanging="420"/>
      </w:pPr>
      <w:rPr>
        <w:rFonts w:hint="default" w:ascii="Wingdings" w:hAnsi="Wingdings"/>
      </w:rPr>
    </w:lvl>
    <w:lvl w:ilvl="5" w:tentative="0">
      <w:start w:val="1"/>
      <w:numFmt w:val="bullet"/>
      <w:lvlText w:val=""/>
      <w:lvlJc w:val="left"/>
      <w:pPr>
        <w:tabs>
          <w:tab w:val="left" w:pos="3300"/>
        </w:tabs>
        <w:ind w:left="3300" w:hanging="420"/>
      </w:pPr>
      <w:rPr>
        <w:rFonts w:hint="default" w:ascii="Wingdings" w:hAnsi="Wingdings"/>
      </w:rPr>
    </w:lvl>
    <w:lvl w:ilvl="6" w:tentative="0">
      <w:start w:val="1"/>
      <w:numFmt w:val="bullet"/>
      <w:lvlText w:val=""/>
      <w:lvlJc w:val="left"/>
      <w:pPr>
        <w:tabs>
          <w:tab w:val="left" w:pos="3720"/>
        </w:tabs>
        <w:ind w:left="3720" w:hanging="420"/>
      </w:pPr>
      <w:rPr>
        <w:rFonts w:hint="default" w:ascii="Wingdings" w:hAnsi="Wingdings"/>
      </w:rPr>
    </w:lvl>
    <w:lvl w:ilvl="7" w:tentative="0">
      <w:start w:val="1"/>
      <w:numFmt w:val="bullet"/>
      <w:lvlText w:val=""/>
      <w:lvlJc w:val="left"/>
      <w:pPr>
        <w:tabs>
          <w:tab w:val="left" w:pos="4140"/>
        </w:tabs>
        <w:ind w:left="4140" w:hanging="420"/>
      </w:pPr>
      <w:rPr>
        <w:rFonts w:hint="default" w:ascii="Wingdings" w:hAnsi="Wingdings"/>
      </w:rPr>
    </w:lvl>
    <w:lvl w:ilvl="8" w:tentative="0">
      <w:start w:val="1"/>
      <w:numFmt w:val="bullet"/>
      <w:lvlText w:val=""/>
      <w:lvlJc w:val="left"/>
      <w:pPr>
        <w:tabs>
          <w:tab w:val="left" w:pos="4560"/>
        </w:tabs>
        <w:ind w:left="4560" w:hanging="420"/>
      </w:pPr>
      <w:rPr>
        <w:rFonts w:hint="default" w:ascii="Wingdings" w:hAnsi="Wingdings"/>
      </w:rPr>
    </w:lvl>
  </w:abstractNum>
  <w:abstractNum w:abstractNumId="3">
    <w:nsid w:val="561E0D03"/>
    <w:multiLevelType w:val="multilevel"/>
    <w:tmpl w:val="561E0D03"/>
    <w:lvl w:ilvl="0" w:tentative="0">
      <w:start w:val="1"/>
      <w:numFmt w:val="bullet"/>
      <w:pStyle w:val="60"/>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
    <w:nsid w:val="57E06AFF"/>
    <w:multiLevelType w:val="multilevel"/>
    <w:tmpl w:val="57E06AFF"/>
    <w:lvl w:ilvl="0" w:tentative="0">
      <w:start w:val="1"/>
      <w:numFmt w:val="decimal"/>
      <w:pStyle w:val="2"/>
      <w:lvlText w:val="%1."/>
      <w:lvlJc w:val="left"/>
      <w:pPr>
        <w:ind w:left="420" w:hanging="420"/>
      </w:pPr>
      <w:rPr>
        <w:rFonts w:hint="default" w:ascii="Times New Roman" w:hAnsi="Times New Roman" w:eastAsia="宋体"/>
        <w:b/>
        <w:i w:val="0"/>
        <w:sz w:val="44"/>
      </w:rPr>
    </w:lvl>
    <w:lvl w:ilvl="1" w:tentative="0">
      <w:start w:val="1"/>
      <w:numFmt w:val="decimal"/>
      <w:pStyle w:val="4"/>
      <w:lvlText w:val="%1.%2."/>
      <w:lvlJc w:val="left"/>
      <w:pPr>
        <w:ind w:left="567" w:hanging="567"/>
      </w:pPr>
      <w:rPr>
        <w:rFonts w:hint="default" w:ascii="Times New Roman" w:hAnsi="Times New Roman" w:eastAsia="宋体"/>
        <w:b/>
        <w:i w:val="0"/>
        <w:sz w:val="32"/>
      </w:rPr>
    </w:lvl>
    <w:lvl w:ilvl="2" w:tentative="0">
      <w:start w:val="1"/>
      <w:numFmt w:val="decimal"/>
      <w:pStyle w:val="5"/>
      <w:lvlText w:val="%1.%2.%3."/>
      <w:lvlJc w:val="left"/>
      <w:pPr>
        <w:ind w:left="709" w:hanging="709"/>
      </w:pPr>
      <w:rPr>
        <w:rFonts w:hint="default" w:ascii="Times New Roman" w:hAnsi="Times New Roman" w:eastAsia="宋体"/>
        <w:b/>
        <w:i w:val="0"/>
        <w:sz w:val="30"/>
      </w:rPr>
    </w:lvl>
    <w:lvl w:ilvl="3" w:tentative="0">
      <w:start w:val="1"/>
      <w:numFmt w:val="decimal"/>
      <w:pStyle w:val="6"/>
      <w:lvlText w:val="%1.%2.%3.%4."/>
      <w:lvlJc w:val="left"/>
      <w:pPr>
        <w:ind w:left="851" w:hanging="851"/>
      </w:pPr>
      <w:rPr>
        <w:rFonts w:hint="default" w:ascii="Times New Roman" w:hAnsi="Times New Roman" w:eastAsia="宋体"/>
        <w:b/>
        <w:i w:val="0"/>
        <w:sz w:val="28"/>
      </w:rPr>
    </w:lvl>
    <w:lvl w:ilvl="4" w:tentative="0">
      <w:start w:val="1"/>
      <w:numFmt w:val="decimal"/>
      <w:pStyle w:val="7"/>
      <w:lvlText w:val="%1.%2.%3.%4.%5."/>
      <w:lvlJc w:val="left"/>
      <w:pPr>
        <w:ind w:left="992" w:hanging="992"/>
      </w:pPr>
      <w:rPr>
        <w:rFonts w:hint="eastAsia"/>
      </w:rPr>
    </w:lvl>
    <w:lvl w:ilvl="5" w:tentative="0">
      <w:start w:val="1"/>
      <w:numFmt w:val="decimal"/>
      <w:pStyle w:val="8"/>
      <w:lvlText w:val="%1.%2.%3.%4.%5.%6."/>
      <w:lvlJc w:val="left"/>
      <w:pPr>
        <w:ind w:left="1134" w:hanging="1134"/>
      </w:pPr>
      <w:rPr>
        <w:rFonts w:hint="eastAsia"/>
      </w:rPr>
    </w:lvl>
    <w:lvl w:ilvl="6" w:tentative="0">
      <w:start w:val="1"/>
      <w:numFmt w:val="decimal"/>
      <w:pStyle w:val="9"/>
      <w:lvlText w:val="%1.%2.%3.%4.%5.%6.%7."/>
      <w:lvlJc w:val="left"/>
      <w:pPr>
        <w:ind w:left="1276" w:hanging="1276"/>
      </w:pPr>
      <w:rPr>
        <w:rFonts w:hint="eastAsia"/>
      </w:rPr>
    </w:lvl>
    <w:lvl w:ilvl="7" w:tentative="0">
      <w:start w:val="1"/>
      <w:numFmt w:val="decimal"/>
      <w:pStyle w:val="10"/>
      <w:lvlText w:val="%1.%2.%3.%4.%5.%6.%7.%8."/>
      <w:lvlJc w:val="left"/>
      <w:pPr>
        <w:ind w:left="1418" w:hanging="1418"/>
      </w:pPr>
      <w:rPr>
        <w:rFonts w:hint="eastAsia"/>
      </w:rPr>
    </w:lvl>
    <w:lvl w:ilvl="8" w:tentative="0">
      <w:start w:val="1"/>
      <w:numFmt w:val="decimal"/>
      <w:pStyle w:val="11"/>
      <w:lvlText w:val="%1.%2.%3.%4.%5.%6.%7.%8.%9."/>
      <w:lvlJc w:val="left"/>
      <w:pPr>
        <w:ind w:left="1559" w:hanging="1559"/>
      </w:pPr>
      <w:rPr>
        <w:rFonts w:hint="eastAsia"/>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gzN2I2M2FjNzAxNWM4MDAyYjdlZjZmOWZmMmM2NWMifQ=="/>
  </w:docVars>
  <w:rsids>
    <w:rsidRoot w:val="00E1465D"/>
    <w:rsid w:val="00001098"/>
    <w:rsid w:val="00001EA7"/>
    <w:rsid w:val="00007345"/>
    <w:rsid w:val="00027164"/>
    <w:rsid w:val="000271E1"/>
    <w:rsid w:val="000741A7"/>
    <w:rsid w:val="00075B09"/>
    <w:rsid w:val="00080170"/>
    <w:rsid w:val="00085016"/>
    <w:rsid w:val="00086E86"/>
    <w:rsid w:val="00092073"/>
    <w:rsid w:val="000937CB"/>
    <w:rsid w:val="000B2F55"/>
    <w:rsid w:val="000B4D0B"/>
    <w:rsid w:val="000B6B0E"/>
    <w:rsid w:val="000B6D43"/>
    <w:rsid w:val="000C2498"/>
    <w:rsid w:val="000D2BA8"/>
    <w:rsid w:val="000E39BC"/>
    <w:rsid w:val="000E45B6"/>
    <w:rsid w:val="000F2DD4"/>
    <w:rsid w:val="00112239"/>
    <w:rsid w:val="00114537"/>
    <w:rsid w:val="001152B7"/>
    <w:rsid w:val="00120248"/>
    <w:rsid w:val="001220F5"/>
    <w:rsid w:val="00122B6C"/>
    <w:rsid w:val="00156CEC"/>
    <w:rsid w:val="00162F88"/>
    <w:rsid w:val="001758CF"/>
    <w:rsid w:val="00182BDF"/>
    <w:rsid w:val="001976A1"/>
    <w:rsid w:val="001A60A8"/>
    <w:rsid w:val="001A7855"/>
    <w:rsid w:val="001B4F9F"/>
    <w:rsid w:val="001C5E9B"/>
    <w:rsid w:val="001C75D1"/>
    <w:rsid w:val="001D185D"/>
    <w:rsid w:val="001D5A30"/>
    <w:rsid w:val="001E1371"/>
    <w:rsid w:val="00202256"/>
    <w:rsid w:val="002170AF"/>
    <w:rsid w:val="00217AE3"/>
    <w:rsid w:val="0022051F"/>
    <w:rsid w:val="002219ED"/>
    <w:rsid w:val="00221A6C"/>
    <w:rsid w:val="0022700A"/>
    <w:rsid w:val="00241414"/>
    <w:rsid w:val="0025741B"/>
    <w:rsid w:val="002651E1"/>
    <w:rsid w:val="00283839"/>
    <w:rsid w:val="002908A8"/>
    <w:rsid w:val="002955C9"/>
    <w:rsid w:val="002A0CEE"/>
    <w:rsid w:val="002A7851"/>
    <w:rsid w:val="002B1F3E"/>
    <w:rsid w:val="002C3BEB"/>
    <w:rsid w:val="002D102E"/>
    <w:rsid w:val="002D1179"/>
    <w:rsid w:val="002D1191"/>
    <w:rsid w:val="002D1840"/>
    <w:rsid w:val="002D3528"/>
    <w:rsid w:val="002E23A3"/>
    <w:rsid w:val="002E3E40"/>
    <w:rsid w:val="002F11F0"/>
    <w:rsid w:val="002F7AFA"/>
    <w:rsid w:val="00301A5C"/>
    <w:rsid w:val="0031781C"/>
    <w:rsid w:val="003245E7"/>
    <w:rsid w:val="00326E1C"/>
    <w:rsid w:val="00341280"/>
    <w:rsid w:val="00343FFA"/>
    <w:rsid w:val="00354BF6"/>
    <w:rsid w:val="0037087D"/>
    <w:rsid w:val="0037111D"/>
    <w:rsid w:val="003724B0"/>
    <w:rsid w:val="00375793"/>
    <w:rsid w:val="00375ECD"/>
    <w:rsid w:val="00391BFA"/>
    <w:rsid w:val="00393CFB"/>
    <w:rsid w:val="003A3882"/>
    <w:rsid w:val="003C39F9"/>
    <w:rsid w:val="003C5C0F"/>
    <w:rsid w:val="003D02F0"/>
    <w:rsid w:val="003D1D37"/>
    <w:rsid w:val="003D3FB6"/>
    <w:rsid w:val="003D5CDB"/>
    <w:rsid w:val="003E0D83"/>
    <w:rsid w:val="003E0FBC"/>
    <w:rsid w:val="003E4B7B"/>
    <w:rsid w:val="003F57EA"/>
    <w:rsid w:val="00404500"/>
    <w:rsid w:val="0041574D"/>
    <w:rsid w:val="00420C65"/>
    <w:rsid w:val="004429DD"/>
    <w:rsid w:val="004543CF"/>
    <w:rsid w:val="00456090"/>
    <w:rsid w:val="00473C78"/>
    <w:rsid w:val="00487673"/>
    <w:rsid w:val="004904EB"/>
    <w:rsid w:val="004A4EE5"/>
    <w:rsid w:val="004A7608"/>
    <w:rsid w:val="004B1095"/>
    <w:rsid w:val="004B23E7"/>
    <w:rsid w:val="004B3BC0"/>
    <w:rsid w:val="004C6155"/>
    <w:rsid w:val="004D3EC4"/>
    <w:rsid w:val="004F7417"/>
    <w:rsid w:val="00506386"/>
    <w:rsid w:val="00517490"/>
    <w:rsid w:val="00517FD6"/>
    <w:rsid w:val="005213FD"/>
    <w:rsid w:val="00527614"/>
    <w:rsid w:val="00542087"/>
    <w:rsid w:val="00560242"/>
    <w:rsid w:val="005672AC"/>
    <w:rsid w:val="00580AF6"/>
    <w:rsid w:val="00582CDD"/>
    <w:rsid w:val="005A4AF0"/>
    <w:rsid w:val="005B0F85"/>
    <w:rsid w:val="005C41B4"/>
    <w:rsid w:val="005C4734"/>
    <w:rsid w:val="005F26FE"/>
    <w:rsid w:val="005F41E0"/>
    <w:rsid w:val="00602A90"/>
    <w:rsid w:val="0060593F"/>
    <w:rsid w:val="0060646F"/>
    <w:rsid w:val="00610A08"/>
    <w:rsid w:val="00626386"/>
    <w:rsid w:val="00633A41"/>
    <w:rsid w:val="006340E9"/>
    <w:rsid w:val="00652A76"/>
    <w:rsid w:val="00653C9F"/>
    <w:rsid w:val="006554DD"/>
    <w:rsid w:val="00657BBB"/>
    <w:rsid w:val="0067535A"/>
    <w:rsid w:val="0069195F"/>
    <w:rsid w:val="00692BAB"/>
    <w:rsid w:val="006A031C"/>
    <w:rsid w:val="006A1739"/>
    <w:rsid w:val="006A38A3"/>
    <w:rsid w:val="006B63C7"/>
    <w:rsid w:val="006C4566"/>
    <w:rsid w:val="006D2481"/>
    <w:rsid w:val="006F5071"/>
    <w:rsid w:val="006F67A8"/>
    <w:rsid w:val="00701354"/>
    <w:rsid w:val="00701EDD"/>
    <w:rsid w:val="007023F9"/>
    <w:rsid w:val="007050F9"/>
    <w:rsid w:val="00707AE6"/>
    <w:rsid w:val="007129A7"/>
    <w:rsid w:val="00726465"/>
    <w:rsid w:val="00727823"/>
    <w:rsid w:val="0074380A"/>
    <w:rsid w:val="007505E8"/>
    <w:rsid w:val="0076290B"/>
    <w:rsid w:val="00764A60"/>
    <w:rsid w:val="00774F42"/>
    <w:rsid w:val="0077543F"/>
    <w:rsid w:val="00782439"/>
    <w:rsid w:val="00783765"/>
    <w:rsid w:val="00785248"/>
    <w:rsid w:val="007D69A8"/>
    <w:rsid w:val="007E134C"/>
    <w:rsid w:val="007E2CB0"/>
    <w:rsid w:val="0080796D"/>
    <w:rsid w:val="0081087B"/>
    <w:rsid w:val="008128DC"/>
    <w:rsid w:val="00820265"/>
    <w:rsid w:val="00827C30"/>
    <w:rsid w:val="008340DE"/>
    <w:rsid w:val="008363A4"/>
    <w:rsid w:val="00842109"/>
    <w:rsid w:val="00845B71"/>
    <w:rsid w:val="00845FE6"/>
    <w:rsid w:val="00854267"/>
    <w:rsid w:val="0085614F"/>
    <w:rsid w:val="0086496D"/>
    <w:rsid w:val="00866609"/>
    <w:rsid w:val="00867969"/>
    <w:rsid w:val="008745A8"/>
    <w:rsid w:val="00885C56"/>
    <w:rsid w:val="00887792"/>
    <w:rsid w:val="0089097A"/>
    <w:rsid w:val="00893B00"/>
    <w:rsid w:val="00895587"/>
    <w:rsid w:val="008B0CB9"/>
    <w:rsid w:val="008C4B7D"/>
    <w:rsid w:val="008C6DA8"/>
    <w:rsid w:val="008D2305"/>
    <w:rsid w:val="008E28EB"/>
    <w:rsid w:val="008E6F5B"/>
    <w:rsid w:val="0090303B"/>
    <w:rsid w:val="00907431"/>
    <w:rsid w:val="00914AC3"/>
    <w:rsid w:val="0092367C"/>
    <w:rsid w:val="00931D12"/>
    <w:rsid w:val="00932376"/>
    <w:rsid w:val="0093742E"/>
    <w:rsid w:val="0094008B"/>
    <w:rsid w:val="0094276E"/>
    <w:rsid w:val="0094720E"/>
    <w:rsid w:val="00951078"/>
    <w:rsid w:val="009538D6"/>
    <w:rsid w:val="00956AB8"/>
    <w:rsid w:val="00956FE8"/>
    <w:rsid w:val="009573A9"/>
    <w:rsid w:val="009655AF"/>
    <w:rsid w:val="00970CC9"/>
    <w:rsid w:val="00976FE8"/>
    <w:rsid w:val="00980E83"/>
    <w:rsid w:val="00985053"/>
    <w:rsid w:val="00991F3F"/>
    <w:rsid w:val="009A1042"/>
    <w:rsid w:val="009B3DED"/>
    <w:rsid w:val="009B4EFE"/>
    <w:rsid w:val="009B6598"/>
    <w:rsid w:val="009C1618"/>
    <w:rsid w:val="009C5B28"/>
    <w:rsid w:val="009C7207"/>
    <w:rsid w:val="009D6B51"/>
    <w:rsid w:val="009E0543"/>
    <w:rsid w:val="00A032D0"/>
    <w:rsid w:val="00A058AA"/>
    <w:rsid w:val="00A05999"/>
    <w:rsid w:val="00A07817"/>
    <w:rsid w:val="00A15752"/>
    <w:rsid w:val="00A17402"/>
    <w:rsid w:val="00A30A20"/>
    <w:rsid w:val="00A40675"/>
    <w:rsid w:val="00A42AA3"/>
    <w:rsid w:val="00A4717F"/>
    <w:rsid w:val="00A54416"/>
    <w:rsid w:val="00A67481"/>
    <w:rsid w:val="00A67F11"/>
    <w:rsid w:val="00A72FE9"/>
    <w:rsid w:val="00A767BA"/>
    <w:rsid w:val="00A8030B"/>
    <w:rsid w:val="00A8187A"/>
    <w:rsid w:val="00A83499"/>
    <w:rsid w:val="00A949D4"/>
    <w:rsid w:val="00AA2EB9"/>
    <w:rsid w:val="00AB0BB9"/>
    <w:rsid w:val="00AB0E93"/>
    <w:rsid w:val="00AB1353"/>
    <w:rsid w:val="00AB3B02"/>
    <w:rsid w:val="00AD64F7"/>
    <w:rsid w:val="00AD6B9E"/>
    <w:rsid w:val="00AE31FA"/>
    <w:rsid w:val="00AF288B"/>
    <w:rsid w:val="00B067B9"/>
    <w:rsid w:val="00B07578"/>
    <w:rsid w:val="00B10669"/>
    <w:rsid w:val="00B1125D"/>
    <w:rsid w:val="00B314C0"/>
    <w:rsid w:val="00B3318F"/>
    <w:rsid w:val="00B3475E"/>
    <w:rsid w:val="00B41969"/>
    <w:rsid w:val="00B42F85"/>
    <w:rsid w:val="00B54A51"/>
    <w:rsid w:val="00B552A1"/>
    <w:rsid w:val="00B55385"/>
    <w:rsid w:val="00B562ED"/>
    <w:rsid w:val="00B77E76"/>
    <w:rsid w:val="00B93C18"/>
    <w:rsid w:val="00BB1B9B"/>
    <w:rsid w:val="00BC283B"/>
    <w:rsid w:val="00BC69F1"/>
    <w:rsid w:val="00BD3FB8"/>
    <w:rsid w:val="00BD4C4E"/>
    <w:rsid w:val="00BD7FB7"/>
    <w:rsid w:val="00BE4798"/>
    <w:rsid w:val="00BF12A0"/>
    <w:rsid w:val="00C0013E"/>
    <w:rsid w:val="00C128D9"/>
    <w:rsid w:val="00C15CDA"/>
    <w:rsid w:val="00C24C06"/>
    <w:rsid w:val="00C27187"/>
    <w:rsid w:val="00C27FDD"/>
    <w:rsid w:val="00C333B2"/>
    <w:rsid w:val="00C40CBE"/>
    <w:rsid w:val="00C412AE"/>
    <w:rsid w:val="00C454D1"/>
    <w:rsid w:val="00C51BC7"/>
    <w:rsid w:val="00C5635C"/>
    <w:rsid w:val="00C66DB7"/>
    <w:rsid w:val="00C674AD"/>
    <w:rsid w:val="00C710A2"/>
    <w:rsid w:val="00C731B2"/>
    <w:rsid w:val="00C744CD"/>
    <w:rsid w:val="00C96E75"/>
    <w:rsid w:val="00CA0434"/>
    <w:rsid w:val="00CA1649"/>
    <w:rsid w:val="00CA487B"/>
    <w:rsid w:val="00CB2C45"/>
    <w:rsid w:val="00CC147F"/>
    <w:rsid w:val="00CD19C9"/>
    <w:rsid w:val="00CE6BB5"/>
    <w:rsid w:val="00CF72D8"/>
    <w:rsid w:val="00D0030A"/>
    <w:rsid w:val="00D0236E"/>
    <w:rsid w:val="00D0297C"/>
    <w:rsid w:val="00D113FD"/>
    <w:rsid w:val="00D12B74"/>
    <w:rsid w:val="00D14A87"/>
    <w:rsid w:val="00D155B6"/>
    <w:rsid w:val="00D2147F"/>
    <w:rsid w:val="00D22E3E"/>
    <w:rsid w:val="00D248E8"/>
    <w:rsid w:val="00D316CE"/>
    <w:rsid w:val="00D46378"/>
    <w:rsid w:val="00D5152C"/>
    <w:rsid w:val="00D535C3"/>
    <w:rsid w:val="00D53E60"/>
    <w:rsid w:val="00D64FE9"/>
    <w:rsid w:val="00D67A63"/>
    <w:rsid w:val="00D820F7"/>
    <w:rsid w:val="00D95651"/>
    <w:rsid w:val="00DA3342"/>
    <w:rsid w:val="00DB73AA"/>
    <w:rsid w:val="00DB7B31"/>
    <w:rsid w:val="00DC2577"/>
    <w:rsid w:val="00DC26CD"/>
    <w:rsid w:val="00DD4C3D"/>
    <w:rsid w:val="00DF3072"/>
    <w:rsid w:val="00E02484"/>
    <w:rsid w:val="00E107B5"/>
    <w:rsid w:val="00E12799"/>
    <w:rsid w:val="00E1465D"/>
    <w:rsid w:val="00E32953"/>
    <w:rsid w:val="00E35D09"/>
    <w:rsid w:val="00E42894"/>
    <w:rsid w:val="00E432FA"/>
    <w:rsid w:val="00E5789B"/>
    <w:rsid w:val="00E766A1"/>
    <w:rsid w:val="00E85F5A"/>
    <w:rsid w:val="00E96C7D"/>
    <w:rsid w:val="00EA1B98"/>
    <w:rsid w:val="00EA23B6"/>
    <w:rsid w:val="00EA5CA2"/>
    <w:rsid w:val="00EB6006"/>
    <w:rsid w:val="00EB7A10"/>
    <w:rsid w:val="00EC111B"/>
    <w:rsid w:val="00EC50AA"/>
    <w:rsid w:val="00ED4FF9"/>
    <w:rsid w:val="00ED6470"/>
    <w:rsid w:val="00EE385A"/>
    <w:rsid w:val="00EE5A60"/>
    <w:rsid w:val="00EF0F26"/>
    <w:rsid w:val="00F15B0B"/>
    <w:rsid w:val="00F30BA9"/>
    <w:rsid w:val="00F520A6"/>
    <w:rsid w:val="00F56DE0"/>
    <w:rsid w:val="00F620A1"/>
    <w:rsid w:val="00F82AFD"/>
    <w:rsid w:val="00F82EE2"/>
    <w:rsid w:val="00F8678B"/>
    <w:rsid w:val="00F91127"/>
    <w:rsid w:val="00F93AE4"/>
    <w:rsid w:val="00FB16F1"/>
    <w:rsid w:val="00FB4F4A"/>
    <w:rsid w:val="00FB5904"/>
    <w:rsid w:val="00FB593A"/>
    <w:rsid w:val="00FB6323"/>
    <w:rsid w:val="00FC3294"/>
    <w:rsid w:val="00FC53E2"/>
    <w:rsid w:val="00FD6269"/>
    <w:rsid w:val="00FF1DDA"/>
    <w:rsid w:val="00FF5B05"/>
    <w:rsid w:val="03434F54"/>
    <w:rsid w:val="06163A32"/>
    <w:rsid w:val="067F2A0E"/>
    <w:rsid w:val="06EA1F1A"/>
    <w:rsid w:val="070F5170"/>
    <w:rsid w:val="08D763CA"/>
    <w:rsid w:val="0D4C0A39"/>
    <w:rsid w:val="0FFB1952"/>
    <w:rsid w:val="146723CC"/>
    <w:rsid w:val="147B680C"/>
    <w:rsid w:val="15324901"/>
    <w:rsid w:val="1539797F"/>
    <w:rsid w:val="15EB22B4"/>
    <w:rsid w:val="1639423A"/>
    <w:rsid w:val="17EDC250"/>
    <w:rsid w:val="1B302ADF"/>
    <w:rsid w:val="1B620B59"/>
    <w:rsid w:val="1EBA04C4"/>
    <w:rsid w:val="1F437447"/>
    <w:rsid w:val="1F76D75D"/>
    <w:rsid w:val="233576CE"/>
    <w:rsid w:val="23F530CF"/>
    <w:rsid w:val="26271017"/>
    <w:rsid w:val="26322DEF"/>
    <w:rsid w:val="281A1A02"/>
    <w:rsid w:val="28B503F7"/>
    <w:rsid w:val="28CD2D3C"/>
    <w:rsid w:val="2CD75F5D"/>
    <w:rsid w:val="33F400E2"/>
    <w:rsid w:val="359E69AC"/>
    <w:rsid w:val="38BFF1E2"/>
    <w:rsid w:val="39B4455A"/>
    <w:rsid w:val="3ADF6EFD"/>
    <w:rsid w:val="3B982DE0"/>
    <w:rsid w:val="3BBB21DC"/>
    <w:rsid w:val="3C8C2C72"/>
    <w:rsid w:val="3D2DF7A3"/>
    <w:rsid w:val="406D5E55"/>
    <w:rsid w:val="43A37870"/>
    <w:rsid w:val="479354BC"/>
    <w:rsid w:val="486E535B"/>
    <w:rsid w:val="49FD0DB6"/>
    <w:rsid w:val="534A1D9D"/>
    <w:rsid w:val="55756839"/>
    <w:rsid w:val="5D8C4BE8"/>
    <w:rsid w:val="5FF52DFF"/>
    <w:rsid w:val="60A70F0A"/>
    <w:rsid w:val="6E6D028B"/>
    <w:rsid w:val="6EBBBD9B"/>
    <w:rsid w:val="706C1AC9"/>
    <w:rsid w:val="72DF7849"/>
    <w:rsid w:val="72EC0678"/>
    <w:rsid w:val="7397B993"/>
    <w:rsid w:val="7428006B"/>
    <w:rsid w:val="753B2A97"/>
    <w:rsid w:val="758F617C"/>
    <w:rsid w:val="76741766"/>
    <w:rsid w:val="773DD397"/>
    <w:rsid w:val="77EF4FD5"/>
    <w:rsid w:val="78C14F33"/>
    <w:rsid w:val="7CB27C44"/>
    <w:rsid w:val="7DCB394B"/>
    <w:rsid w:val="7E47317A"/>
    <w:rsid w:val="7F7FF514"/>
    <w:rsid w:val="7FBEA9CB"/>
    <w:rsid w:val="9FF6EBE3"/>
    <w:rsid w:val="B7B719FA"/>
    <w:rsid w:val="BD8BB6B3"/>
    <w:rsid w:val="BEF77B82"/>
    <w:rsid w:val="BF9D4D15"/>
    <w:rsid w:val="CB4D1783"/>
    <w:rsid w:val="CFBBDA92"/>
    <w:rsid w:val="FBFF1F8E"/>
    <w:rsid w:val="FED79344"/>
    <w:rsid w:val="FEF684E1"/>
    <w:rsid w:val="FF17A4B1"/>
    <w:rsid w:val="FFFF15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qFormat="1"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jc w:val="both"/>
    </w:pPr>
    <w:rPr>
      <w:rFonts w:ascii="Times New Roman" w:hAnsi="Times New Roman" w:eastAsia="宋体" w:cstheme="minorBidi"/>
      <w:kern w:val="2"/>
      <w:sz w:val="21"/>
      <w:szCs w:val="22"/>
      <w:lang w:val="en-US" w:eastAsia="zh-CN" w:bidi="ar-SA"/>
    </w:rPr>
  </w:style>
  <w:style w:type="paragraph" w:styleId="2">
    <w:name w:val="heading 1"/>
    <w:basedOn w:val="1"/>
    <w:next w:val="3"/>
    <w:link w:val="32"/>
    <w:qFormat/>
    <w:uiPriority w:val="0"/>
    <w:pPr>
      <w:keepNext/>
      <w:keepLines/>
      <w:pageBreakBefore/>
      <w:numPr>
        <w:ilvl w:val="0"/>
        <w:numId w:val="1"/>
      </w:numPr>
      <w:spacing w:before="340" w:after="330" w:line="578" w:lineRule="auto"/>
      <w:outlineLvl w:val="0"/>
    </w:pPr>
    <w:rPr>
      <w:b/>
      <w:bCs/>
      <w:kern w:val="44"/>
      <w:sz w:val="44"/>
      <w:szCs w:val="44"/>
    </w:rPr>
  </w:style>
  <w:style w:type="paragraph" w:styleId="4">
    <w:name w:val="heading 2"/>
    <w:basedOn w:val="2"/>
    <w:next w:val="3"/>
    <w:link w:val="33"/>
    <w:unhideWhenUsed/>
    <w:qFormat/>
    <w:uiPriority w:val="0"/>
    <w:pPr>
      <w:numPr>
        <w:ilvl w:val="1"/>
      </w:numPr>
      <w:spacing w:before="260" w:after="260" w:line="416" w:lineRule="auto"/>
      <w:outlineLvl w:val="1"/>
    </w:pPr>
    <w:rPr>
      <w:rFonts w:cstheme="majorBidi"/>
      <w:sz w:val="32"/>
      <w:szCs w:val="32"/>
    </w:rPr>
  </w:style>
  <w:style w:type="paragraph" w:styleId="5">
    <w:name w:val="heading 3"/>
    <w:basedOn w:val="1"/>
    <w:next w:val="1"/>
    <w:link w:val="34"/>
    <w:unhideWhenUsed/>
    <w:qFormat/>
    <w:uiPriority w:val="0"/>
    <w:pPr>
      <w:keepNext/>
      <w:keepLines/>
      <w:numPr>
        <w:ilvl w:val="2"/>
        <w:numId w:val="1"/>
      </w:numPr>
      <w:spacing w:before="260" w:after="260" w:line="416" w:lineRule="auto"/>
      <w:outlineLvl w:val="2"/>
    </w:pPr>
    <w:rPr>
      <w:b/>
      <w:bCs/>
      <w:sz w:val="30"/>
      <w:szCs w:val="32"/>
    </w:rPr>
  </w:style>
  <w:style w:type="paragraph" w:styleId="6">
    <w:name w:val="heading 4"/>
    <w:basedOn w:val="1"/>
    <w:next w:val="1"/>
    <w:link w:val="35"/>
    <w:unhideWhenUsed/>
    <w:qFormat/>
    <w:uiPriority w:val="0"/>
    <w:pPr>
      <w:keepNext/>
      <w:keepLines/>
      <w:numPr>
        <w:ilvl w:val="3"/>
        <w:numId w:val="1"/>
      </w:numPr>
      <w:spacing w:before="280" w:after="290" w:line="376" w:lineRule="auto"/>
      <w:outlineLvl w:val="3"/>
    </w:pPr>
    <w:rPr>
      <w:rFonts w:cstheme="majorBidi"/>
      <w:b/>
      <w:bCs/>
      <w:sz w:val="28"/>
      <w:szCs w:val="28"/>
    </w:rPr>
  </w:style>
  <w:style w:type="paragraph" w:styleId="7">
    <w:name w:val="heading 5"/>
    <w:basedOn w:val="1"/>
    <w:next w:val="1"/>
    <w:link w:val="36"/>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37"/>
    <w:unhideWhenUsed/>
    <w:qFormat/>
    <w:uiPriority w:val="9"/>
    <w:pPr>
      <w:keepNext/>
      <w:keepLines/>
      <w:numPr>
        <w:ilvl w:val="5"/>
        <w:numId w:val="1"/>
      </w:numPr>
      <w:spacing w:before="240" w:after="64" w:line="320" w:lineRule="auto"/>
      <w:outlineLvl w:val="5"/>
    </w:pPr>
    <w:rPr>
      <w:rFonts w:asciiTheme="majorHAnsi" w:hAnsiTheme="majorHAnsi" w:cstheme="majorBidi"/>
      <w:b/>
      <w:bCs/>
      <w:sz w:val="24"/>
      <w:szCs w:val="24"/>
    </w:rPr>
  </w:style>
  <w:style w:type="paragraph" w:styleId="9">
    <w:name w:val="heading 7"/>
    <w:basedOn w:val="1"/>
    <w:next w:val="1"/>
    <w:link w:val="38"/>
    <w:semiHidden/>
    <w:unhideWhenUsed/>
    <w:qFormat/>
    <w:uiPriority w:val="9"/>
    <w:pPr>
      <w:keepNext/>
      <w:keepLines/>
      <w:numPr>
        <w:ilvl w:val="6"/>
        <w:numId w:val="1"/>
      </w:numPr>
      <w:spacing w:before="240" w:after="64" w:line="320" w:lineRule="auto"/>
      <w:outlineLvl w:val="6"/>
    </w:pPr>
    <w:rPr>
      <w:b/>
      <w:bCs/>
      <w:sz w:val="24"/>
      <w:szCs w:val="24"/>
    </w:rPr>
  </w:style>
  <w:style w:type="paragraph" w:styleId="10">
    <w:name w:val="heading 8"/>
    <w:basedOn w:val="1"/>
    <w:next w:val="1"/>
    <w:link w:val="39"/>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1">
    <w:name w:val="heading 9"/>
    <w:basedOn w:val="1"/>
    <w:next w:val="1"/>
    <w:link w:val="40"/>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3">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3">
    <w:name w:val="Normal Indent"/>
    <w:basedOn w:val="1"/>
    <w:unhideWhenUsed/>
    <w:qFormat/>
    <w:uiPriority w:val="99"/>
    <w:pPr>
      <w:ind w:firstLine="200" w:firstLineChars="200"/>
    </w:pPr>
  </w:style>
  <w:style w:type="paragraph" w:styleId="12">
    <w:name w:val="annotation text"/>
    <w:basedOn w:val="1"/>
    <w:link w:val="63"/>
    <w:semiHidden/>
    <w:unhideWhenUsed/>
    <w:qFormat/>
    <w:uiPriority w:val="99"/>
    <w:pPr>
      <w:jc w:val="left"/>
    </w:pPr>
  </w:style>
  <w:style w:type="paragraph" w:styleId="13">
    <w:name w:val="toc 3"/>
    <w:basedOn w:val="1"/>
    <w:next w:val="1"/>
    <w:unhideWhenUsed/>
    <w:qFormat/>
    <w:uiPriority w:val="39"/>
    <w:pPr>
      <w:ind w:left="840" w:leftChars="400"/>
    </w:pPr>
  </w:style>
  <w:style w:type="paragraph" w:styleId="14">
    <w:name w:val="Balloon Text"/>
    <w:basedOn w:val="1"/>
    <w:link w:val="51"/>
    <w:semiHidden/>
    <w:unhideWhenUsed/>
    <w:qFormat/>
    <w:uiPriority w:val="99"/>
    <w:pPr>
      <w:spacing w:line="240" w:lineRule="auto"/>
    </w:pPr>
    <w:rPr>
      <w:sz w:val="18"/>
      <w:szCs w:val="18"/>
    </w:rPr>
  </w:style>
  <w:style w:type="paragraph" w:styleId="15">
    <w:name w:val="footer"/>
    <w:basedOn w:val="1"/>
    <w:link w:val="28"/>
    <w:unhideWhenUsed/>
    <w:qFormat/>
    <w:uiPriority w:val="99"/>
    <w:pPr>
      <w:tabs>
        <w:tab w:val="center" w:pos="4153"/>
        <w:tab w:val="right" w:pos="8306"/>
      </w:tabs>
      <w:snapToGrid w:val="0"/>
      <w:jc w:val="left"/>
    </w:pPr>
    <w:rPr>
      <w:sz w:val="18"/>
      <w:szCs w:val="18"/>
    </w:rPr>
  </w:style>
  <w:style w:type="paragraph" w:styleId="16">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style>
  <w:style w:type="paragraph" w:styleId="18">
    <w:name w:val="toc 2"/>
    <w:basedOn w:val="1"/>
    <w:next w:val="1"/>
    <w:unhideWhenUsed/>
    <w:qFormat/>
    <w:uiPriority w:val="39"/>
    <w:pPr>
      <w:ind w:left="420" w:leftChars="200"/>
    </w:pPr>
  </w:style>
  <w:style w:type="paragraph" w:styleId="19">
    <w:name w:val="annotation subject"/>
    <w:basedOn w:val="12"/>
    <w:next w:val="12"/>
    <w:link w:val="64"/>
    <w:semiHidden/>
    <w:unhideWhenUsed/>
    <w:qFormat/>
    <w:uiPriority w:val="99"/>
    <w:rPr>
      <w:b/>
      <w:bCs/>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Table Professional"/>
    <w:basedOn w:val="20"/>
    <w:semiHidden/>
    <w:unhideWhenUsed/>
    <w:qFormat/>
    <w:uiPriority w:val="99"/>
    <w:pPr>
      <w:widowControl w:val="0"/>
      <w:spacing w:line="360" w:lineRule="auto"/>
      <w:ind w:firstLine="42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24">
    <w:name w:val="FollowedHyperlink"/>
    <w:basedOn w:val="23"/>
    <w:semiHidden/>
    <w:unhideWhenUsed/>
    <w:qFormat/>
    <w:uiPriority w:val="99"/>
    <w:rPr>
      <w:color w:val="954F72" w:themeColor="followedHyperlink"/>
      <w:u w:val="single"/>
      <w14:textFill>
        <w14:solidFill>
          <w14:schemeClr w14:val="folHlink"/>
        </w14:solidFill>
      </w14:textFill>
    </w:rPr>
  </w:style>
  <w:style w:type="character" w:styleId="25">
    <w:name w:val="Hyperlink"/>
    <w:basedOn w:val="23"/>
    <w:unhideWhenUsed/>
    <w:qFormat/>
    <w:uiPriority w:val="99"/>
    <w:rPr>
      <w:color w:val="0563C1" w:themeColor="hyperlink"/>
      <w:u w:val="single"/>
      <w14:textFill>
        <w14:solidFill>
          <w14:schemeClr w14:val="hlink"/>
        </w14:solidFill>
      </w14:textFill>
    </w:rPr>
  </w:style>
  <w:style w:type="character" w:styleId="26">
    <w:name w:val="annotation reference"/>
    <w:basedOn w:val="23"/>
    <w:semiHidden/>
    <w:unhideWhenUsed/>
    <w:qFormat/>
    <w:uiPriority w:val="99"/>
    <w:rPr>
      <w:sz w:val="21"/>
      <w:szCs w:val="21"/>
    </w:rPr>
  </w:style>
  <w:style w:type="character" w:customStyle="1" w:styleId="27">
    <w:name w:val="页眉 字符"/>
    <w:basedOn w:val="23"/>
    <w:link w:val="16"/>
    <w:qFormat/>
    <w:uiPriority w:val="99"/>
    <w:rPr>
      <w:sz w:val="18"/>
      <w:szCs w:val="18"/>
    </w:rPr>
  </w:style>
  <w:style w:type="character" w:customStyle="1" w:styleId="28">
    <w:name w:val="页脚 字符"/>
    <w:basedOn w:val="23"/>
    <w:link w:val="15"/>
    <w:qFormat/>
    <w:uiPriority w:val="99"/>
    <w:rPr>
      <w:sz w:val="18"/>
      <w:szCs w:val="18"/>
    </w:rPr>
  </w:style>
  <w:style w:type="paragraph" w:customStyle="1" w:styleId="29">
    <w:name w:val="页面标题"/>
    <w:basedOn w:val="1"/>
    <w:next w:val="1"/>
    <w:qFormat/>
    <w:uiPriority w:val="0"/>
    <w:pPr>
      <w:widowControl/>
      <w:ind w:firstLine="0"/>
      <w:jc w:val="center"/>
    </w:pPr>
    <w:rPr>
      <w:rFonts w:ascii="宋体" w:hAnsi="宋体" w:cs="宋体"/>
      <w:b/>
      <w:bCs/>
      <w:kern w:val="0"/>
      <w:sz w:val="44"/>
      <w:szCs w:val="44"/>
    </w:rPr>
  </w:style>
  <w:style w:type="paragraph" w:customStyle="1" w:styleId="30">
    <w:name w:val="表头"/>
    <w:basedOn w:val="1"/>
    <w:qFormat/>
    <w:uiPriority w:val="0"/>
    <w:pPr>
      <w:widowControl/>
      <w:spacing w:line="320" w:lineRule="exact"/>
      <w:jc w:val="center"/>
    </w:pPr>
    <w:rPr>
      <w:rFonts w:cs="Times New Roman"/>
      <w:b/>
      <w:bCs/>
      <w:snapToGrid w:val="0"/>
      <w:color w:val="FFFFFF" w:themeColor="background1"/>
      <w:kern w:val="0"/>
      <w:szCs w:val="18"/>
      <w14:textFill>
        <w14:solidFill>
          <w14:schemeClr w14:val="bg1"/>
        </w14:solidFill>
      </w14:textFill>
    </w:rPr>
  </w:style>
  <w:style w:type="paragraph" w:customStyle="1" w:styleId="31">
    <w:name w:val="表内容"/>
    <w:basedOn w:val="1"/>
    <w:qFormat/>
    <w:uiPriority w:val="0"/>
    <w:pPr>
      <w:widowControl/>
      <w:spacing w:line="240" w:lineRule="auto"/>
      <w:ind w:firstLine="0"/>
      <w:jc w:val="left"/>
    </w:pPr>
    <w:rPr>
      <w:rFonts w:cs="Times New Roman"/>
      <w:snapToGrid w:val="0"/>
      <w:kern w:val="0"/>
      <w:szCs w:val="24"/>
    </w:rPr>
  </w:style>
  <w:style w:type="character" w:customStyle="1" w:styleId="32">
    <w:name w:val="标题 1 字符"/>
    <w:basedOn w:val="23"/>
    <w:link w:val="2"/>
    <w:qFormat/>
    <w:uiPriority w:val="0"/>
    <w:rPr>
      <w:rFonts w:ascii="Times New Roman" w:hAnsi="Times New Roman" w:eastAsia="宋体"/>
      <w:b/>
      <w:bCs/>
      <w:kern w:val="44"/>
      <w:sz w:val="44"/>
      <w:szCs w:val="44"/>
    </w:rPr>
  </w:style>
  <w:style w:type="character" w:customStyle="1" w:styleId="33">
    <w:name w:val="标题 2 字符"/>
    <w:basedOn w:val="23"/>
    <w:link w:val="4"/>
    <w:qFormat/>
    <w:uiPriority w:val="0"/>
    <w:rPr>
      <w:rFonts w:ascii="Times New Roman" w:hAnsi="Times New Roman" w:eastAsia="宋体" w:cstheme="majorBidi"/>
      <w:b/>
      <w:bCs/>
      <w:sz w:val="32"/>
      <w:szCs w:val="32"/>
    </w:rPr>
  </w:style>
  <w:style w:type="character" w:customStyle="1" w:styleId="34">
    <w:name w:val="标题 3 字符"/>
    <w:basedOn w:val="23"/>
    <w:link w:val="5"/>
    <w:qFormat/>
    <w:uiPriority w:val="9"/>
    <w:rPr>
      <w:rFonts w:eastAsia="宋体"/>
      <w:b/>
      <w:bCs/>
      <w:sz w:val="30"/>
      <w:szCs w:val="32"/>
    </w:rPr>
  </w:style>
  <w:style w:type="character" w:customStyle="1" w:styleId="35">
    <w:name w:val="标题 4 字符"/>
    <w:basedOn w:val="23"/>
    <w:link w:val="6"/>
    <w:qFormat/>
    <w:uiPriority w:val="0"/>
    <w:rPr>
      <w:rFonts w:ascii="Times New Roman" w:hAnsi="Times New Roman" w:eastAsia="宋体" w:cstheme="majorBidi"/>
      <w:b/>
      <w:bCs/>
      <w:sz w:val="28"/>
      <w:szCs w:val="28"/>
    </w:rPr>
  </w:style>
  <w:style w:type="character" w:customStyle="1" w:styleId="36">
    <w:name w:val="标题 5 字符"/>
    <w:basedOn w:val="23"/>
    <w:link w:val="7"/>
    <w:qFormat/>
    <w:uiPriority w:val="9"/>
    <w:rPr>
      <w:rFonts w:eastAsia="宋体"/>
      <w:b/>
      <w:bCs/>
      <w:sz w:val="28"/>
      <w:szCs w:val="28"/>
    </w:rPr>
  </w:style>
  <w:style w:type="character" w:customStyle="1" w:styleId="37">
    <w:name w:val="标题 6 字符"/>
    <w:basedOn w:val="23"/>
    <w:link w:val="8"/>
    <w:qFormat/>
    <w:uiPriority w:val="9"/>
    <w:rPr>
      <w:rFonts w:eastAsia="宋体" w:asciiTheme="majorHAnsi" w:hAnsiTheme="majorHAnsi" w:cstheme="majorBidi"/>
      <w:b/>
      <w:bCs/>
      <w:sz w:val="24"/>
      <w:szCs w:val="24"/>
    </w:rPr>
  </w:style>
  <w:style w:type="character" w:customStyle="1" w:styleId="38">
    <w:name w:val="标题 7 字符"/>
    <w:basedOn w:val="23"/>
    <w:link w:val="9"/>
    <w:semiHidden/>
    <w:qFormat/>
    <w:uiPriority w:val="9"/>
    <w:rPr>
      <w:b/>
      <w:bCs/>
      <w:sz w:val="24"/>
      <w:szCs w:val="24"/>
    </w:rPr>
  </w:style>
  <w:style w:type="character" w:customStyle="1" w:styleId="39">
    <w:name w:val="标题 8 字符"/>
    <w:basedOn w:val="23"/>
    <w:link w:val="10"/>
    <w:semiHidden/>
    <w:qFormat/>
    <w:uiPriority w:val="9"/>
    <w:rPr>
      <w:rFonts w:asciiTheme="majorHAnsi" w:hAnsiTheme="majorHAnsi" w:eastAsiaTheme="majorEastAsia" w:cstheme="majorBidi"/>
      <w:sz w:val="24"/>
      <w:szCs w:val="24"/>
    </w:rPr>
  </w:style>
  <w:style w:type="character" w:customStyle="1" w:styleId="40">
    <w:name w:val="标题 9 字符"/>
    <w:basedOn w:val="23"/>
    <w:link w:val="11"/>
    <w:qFormat/>
    <w:uiPriority w:val="9"/>
    <w:rPr>
      <w:rFonts w:asciiTheme="majorHAnsi" w:hAnsiTheme="majorHAnsi" w:eastAsiaTheme="majorEastAsia" w:cstheme="majorBidi"/>
      <w:szCs w:val="21"/>
    </w:rPr>
  </w:style>
  <w:style w:type="paragraph" w:styleId="41">
    <w:name w:val="List Paragraph"/>
    <w:basedOn w:val="1"/>
    <w:qFormat/>
    <w:uiPriority w:val="34"/>
    <w:pPr>
      <w:ind w:firstLine="200" w:firstLineChars="200"/>
    </w:pPr>
  </w:style>
  <w:style w:type="character" w:customStyle="1" w:styleId="42">
    <w:name w:val="菜单命令"/>
    <w:qFormat/>
    <w:uiPriority w:val="0"/>
    <w:rPr>
      <w:rFonts w:ascii="Times New Roman" w:hAnsi="Times New Roman" w:eastAsia="宋体"/>
      <w:b/>
      <w:bCs/>
      <w:sz w:val="21"/>
      <w:szCs w:val="21"/>
    </w:rPr>
  </w:style>
  <w:style w:type="paragraph" w:customStyle="1" w:styleId="43">
    <w:name w:val="项目列举2级"/>
    <w:basedOn w:val="1"/>
    <w:qFormat/>
    <w:uiPriority w:val="0"/>
    <w:pPr>
      <w:widowControl/>
      <w:numPr>
        <w:ilvl w:val="0"/>
        <w:numId w:val="2"/>
      </w:numPr>
      <w:jc w:val="left"/>
    </w:pPr>
    <w:rPr>
      <w:rFonts w:cs="宋体"/>
      <w:kern w:val="0"/>
      <w:szCs w:val="21"/>
    </w:rPr>
  </w:style>
  <w:style w:type="character" w:customStyle="1" w:styleId="44">
    <w:name w:val="命令参数"/>
    <w:qFormat/>
    <w:uiPriority w:val="0"/>
    <w:rPr>
      <w:rFonts w:ascii="Times New Roman" w:hAnsi="Times New Roman" w:eastAsia="宋体"/>
      <w:sz w:val="21"/>
      <w:szCs w:val="21"/>
    </w:rPr>
  </w:style>
  <w:style w:type="character" w:customStyle="1" w:styleId="45">
    <w:name w:val="命令参数斜体"/>
    <w:qFormat/>
    <w:uiPriority w:val="0"/>
    <w:rPr>
      <w:rFonts w:ascii="Times New Roman" w:hAnsi="Times New Roman" w:eastAsia="宋体"/>
      <w:i/>
      <w:sz w:val="21"/>
    </w:rPr>
  </w:style>
  <w:style w:type="character" w:customStyle="1" w:styleId="46">
    <w:name w:val="命令名和动作"/>
    <w:qFormat/>
    <w:uiPriority w:val="0"/>
    <w:rPr>
      <w:rFonts w:ascii="Times New Roman" w:hAnsi="Times New Roman" w:eastAsia="黑体"/>
      <w:b/>
      <w:sz w:val="21"/>
      <w:szCs w:val="21"/>
    </w:rPr>
  </w:style>
  <w:style w:type="paragraph" w:customStyle="1" w:styleId="47">
    <w:name w:val="章节项目"/>
    <w:basedOn w:val="1"/>
    <w:qFormat/>
    <w:uiPriority w:val="0"/>
    <w:pPr>
      <w:widowControl/>
      <w:numPr>
        <w:ilvl w:val="0"/>
        <w:numId w:val="3"/>
      </w:numPr>
      <w:jc w:val="left"/>
    </w:pPr>
    <w:rPr>
      <w:rFonts w:cs="宋体"/>
      <w:kern w:val="0"/>
      <w:szCs w:val="21"/>
    </w:rPr>
  </w:style>
  <w:style w:type="paragraph" w:customStyle="1" w:styleId="48">
    <w:name w:val="步骤下图片"/>
    <w:basedOn w:val="1"/>
    <w:qFormat/>
    <w:uiPriority w:val="0"/>
    <w:pPr>
      <w:ind w:left="1276" w:firstLine="0"/>
    </w:pPr>
  </w:style>
  <w:style w:type="paragraph" w:customStyle="1" w:styleId="49">
    <w:name w:val="代码示例"/>
    <w:basedOn w:val="1"/>
    <w:link w:val="50"/>
    <w:qFormat/>
    <w:uiPriority w:val="0"/>
    <w:pPr>
      <w:spacing w:line="240" w:lineRule="auto"/>
      <w:ind w:firstLine="0"/>
    </w:pPr>
    <w:rPr>
      <w:rFonts w:ascii="Courier New" w:hAnsi="Courier New"/>
      <w:color w:val="000000" w:themeColor="text1"/>
      <w:sz w:val="20"/>
      <w:szCs w:val="21"/>
      <w14:textFill>
        <w14:solidFill>
          <w14:schemeClr w14:val="tx1"/>
        </w14:solidFill>
      </w14:textFill>
    </w:rPr>
  </w:style>
  <w:style w:type="character" w:customStyle="1" w:styleId="50">
    <w:name w:val="代码示例 Char"/>
    <w:basedOn w:val="23"/>
    <w:link w:val="49"/>
    <w:qFormat/>
    <w:uiPriority w:val="0"/>
    <w:rPr>
      <w:rFonts w:ascii="Courier New" w:hAnsi="Courier New" w:eastAsia="宋体"/>
      <w:color w:val="000000" w:themeColor="text1"/>
      <w:sz w:val="20"/>
      <w:szCs w:val="21"/>
      <w14:textFill>
        <w14:solidFill>
          <w14:schemeClr w14:val="tx1"/>
        </w14:solidFill>
      </w14:textFill>
    </w:rPr>
  </w:style>
  <w:style w:type="character" w:customStyle="1" w:styleId="51">
    <w:name w:val="批注框文本 字符"/>
    <w:basedOn w:val="23"/>
    <w:link w:val="14"/>
    <w:semiHidden/>
    <w:qFormat/>
    <w:uiPriority w:val="99"/>
    <w:rPr>
      <w:rFonts w:eastAsia="宋体"/>
      <w:sz w:val="18"/>
      <w:szCs w:val="18"/>
    </w:rPr>
  </w:style>
  <w:style w:type="paragraph" w:customStyle="1" w:styleId="52">
    <w:name w:val="1级无序号"/>
    <w:basedOn w:val="2"/>
    <w:next w:val="1"/>
    <w:qFormat/>
    <w:uiPriority w:val="0"/>
    <w:pPr>
      <w:numPr>
        <w:numId w:val="0"/>
      </w:numPr>
    </w:pPr>
  </w:style>
  <w:style w:type="paragraph" w:customStyle="1" w:styleId="53">
    <w:name w:val="2级无序号"/>
    <w:basedOn w:val="4"/>
    <w:next w:val="1"/>
    <w:qFormat/>
    <w:uiPriority w:val="0"/>
    <w:pPr>
      <w:numPr>
        <w:ilvl w:val="0"/>
        <w:numId w:val="0"/>
      </w:numPr>
    </w:pPr>
  </w:style>
  <w:style w:type="paragraph" w:customStyle="1" w:styleId="54">
    <w:name w:val="TOC 标题1"/>
    <w:basedOn w:val="2"/>
    <w:next w:val="1"/>
    <w:unhideWhenUsed/>
    <w:qFormat/>
    <w:uiPriority w:val="39"/>
    <w:pPr>
      <w:numPr>
        <w:numId w:val="0"/>
      </w:numPr>
      <w:spacing w:before="240" w:after="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55">
    <w:name w:val="引导语（仅适用于制作模板）"/>
    <w:basedOn w:val="1"/>
    <w:qFormat/>
    <w:uiPriority w:val="0"/>
    <w:pPr>
      <w:ind w:firstLine="200" w:firstLineChars="200"/>
    </w:pPr>
    <w:rPr>
      <w:i/>
      <w:color w:val="7F7F7F" w:themeColor="background1" w:themeShade="80"/>
    </w:rPr>
  </w:style>
  <w:style w:type="table" w:customStyle="1" w:styleId="56">
    <w:name w:val="Table"/>
    <w:basedOn w:val="22"/>
    <w:qFormat/>
    <w:uiPriority w:val="0"/>
    <w:pPr>
      <w:spacing w:line="240" w:lineRule="auto"/>
      <w:ind w:firstLine="0"/>
      <w:jc w:val="left"/>
    </w:pPr>
    <w:rPr>
      <w:rFonts w:ascii="Times New Roman" w:hAnsi="Times New Roman" w:eastAsia="宋体"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paragraph" w:customStyle="1" w:styleId="57">
    <w:name w:val="Step"/>
    <w:qFormat/>
    <w:uiPriority w:val="0"/>
    <w:pPr>
      <w:numPr>
        <w:ilvl w:val="0"/>
        <w:numId w:val="4"/>
      </w:numPr>
      <w:tabs>
        <w:tab w:val="left" w:pos="1701"/>
      </w:tabs>
      <w:topLinePunct/>
      <w:spacing w:line="360" w:lineRule="auto"/>
    </w:pPr>
    <w:rPr>
      <w:rFonts w:ascii="Times New Roman" w:hAnsi="Times New Roman" w:eastAsia="宋体" w:cstheme="minorBidi"/>
      <w:snapToGrid w:val="0"/>
      <w:sz w:val="21"/>
      <w:szCs w:val="22"/>
      <w:lang w:val="en-US" w:eastAsia="zh-CN" w:bidi="ar-SA"/>
    </w:rPr>
  </w:style>
  <w:style w:type="paragraph" w:customStyle="1" w:styleId="58">
    <w:name w:val="标题五"/>
    <w:basedOn w:val="1"/>
    <w:next w:val="1"/>
    <w:qFormat/>
    <w:uiPriority w:val="0"/>
    <w:pPr>
      <w:spacing w:before="200" w:after="200" w:line="240" w:lineRule="auto"/>
      <w:ind w:firstLine="0"/>
      <w:outlineLvl w:val="4"/>
    </w:pPr>
    <w:rPr>
      <w:b/>
      <w:sz w:val="24"/>
    </w:rPr>
  </w:style>
  <w:style w:type="paragraph" w:customStyle="1" w:styleId="59">
    <w:name w:val="正文下图片"/>
    <w:basedOn w:val="1"/>
    <w:next w:val="1"/>
    <w:qFormat/>
    <w:uiPriority w:val="0"/>
    <w:pPr>
      <w:ind w:left="420" w:firstLine="0"/>
    </w:pPr>
    <w:rPr>
      <w:color w:val="FF0000"/>
    </w:rPr>
  </w:style>
  <w:style w:type="paragraph" w:customStyle="1" w:styleId="60">
    <w:name w:val="项目列举1级"/>
    <w:qFormat/>
    <w:uiPriority w:val="0"/>
    <w:pPr>
      <w:numPr>
        <w:ilvl w:val="0"/>
        <w:numId w:val="5"/>
      </w:numPr>
      <w:spacing w:before="50" w:beforeLines="50" w:after="50" w:afterLines="50"/>
      <w:ind w:left="834" w:hanging="414"/>
      <w:jc w:val="both"/>
    </w:pPr>
    <w:rPr>
      <w:rFonts w:ascii="Times New Roman" w:hAnsi="Times New Roman" w:eastAsia="宋体" w:cstheme="minorBidi"/>
      <w:b/>
      <w:kern w:val="2"/>
      <w:sz w:val="24"/>
      <w:szCs w:val="22"/>
      <w:lang w:val="en-US" w:eastAsia="zh-CN" w:bidi="ar-SA"/>
    </w:rPr>
  </w:style>
  <w:style w:type="paragraph" w:customStyle="1" w:styleId="61">
    <w:name w:val="项目列举下图片"/>
    <w:basedOn w:val="1"/>
    <w:qFormat/>
    <w:uiPriority w:val="0"/>
    <w:pPr>
      <w:ind w:left="868" w:firstLine="0"/>
    </w:pPr>
    <w:rPr>
      <w:color w:val="FF0000"/>
    </w:rPr>
  </w:style>
  <w:style w:type="paragraph" w:customStyle="1" w:styleId="62">
    <w:name w:val="提示说明"/>
    <w:qFormat/>
    <w:uiPriority w:val="0"/>
    <w:rPr>
      <w:rFonts w:ascii="Times New Roman" w:hAnsi="Times New Roman" w:eastAsia="宋体" w:cstheme="minorBidi"/>
      <w:kern w:val="2"/>
      <w:sz w:val="18"/>
      <w:szCs w:val="22"/>
      <w:lang w:val="en-US" w:eastAsia="zh-CN" w:bidi="ar-SA"/>
    </w:rPr>
  </w:style>
  <w:style w:type="character" w:customStyle="1" w:styleId="63">
    <w:name w:val="批注文字 字符"/>
    <w:basedOn w:val="23"/>
    <w:link w:val="12"/>
    <w:semiHidden/>
    <w:qFormat/>
    <w:uiPriority w:val="99"/>
    <w:rPr>
      <w:rFonts w:ascii="Times New Roman" w:hAnsi="Times New Roman" w:eastAsia="宋体"/>
    </w:rPr>
  </w:style>
  <w:style w:type="character" w:customStyle="1" w:styleId="64">
    <w:name w:val="批注主题 字符"/>
    <w:basedOn w:val="63"/>
    <w:link w:val="19"/>
    <w:semiHidden/>
    <w:qFormat/>
    <w:uiPriority w:val="99"/>
    <w:rPr>
      <w:rFonts w:ascii="Times New Roman" w:hAnsi="Times New Roman" w:eastAsia="宋体"/>
      <w:b/>
      <w:bCs/>
    </w:rPr>
  </w:style>
  <w:style w:type="paragraph" w:customStyle="1" w:styleId="65">
    <w:name w:val="附录"/>
    <w:basedOn w:val="52"/>
    <w:next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360政企</Company>
  <Pages>23</Pages>
  <Words>804</Words>
  <Characters>836</Characters>
  <Lines>6</Lines>
  <Paragraphs>1</Paragraphs>
  <TotalTime>6</TotalTime>
  <ScaleCrop>false</ScaleCrop>
  <LinksUpToDate>false</LinksUpToDate>
  <CharactersWithSpaces>841</CharactersWithSpaces>
  <Application>WPS Office_6.6.1.8808_F1E327BC-269C-435d-A152-05C5408002CA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2023-05-25T16:44:00Z</dcterms:created>
  <dc:creator>liguihai</dc:creator>
  <cp:lastModifiedBy>Wayne_H</cp:lastModifiedBy>
  <cp:lastPrinted>2020-04-30T17:33:00Z</cp:lastPrinted>
  <dcterms:modified xsi:type="dcterms:W3CDTF">2026-02-27T11:08:59Z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2052-6.6.1.8808</vt:lpwstr>
  </property>
  <property fmtid="{D5CDD505-2E9C-101B-9397-08002B2CF9AE}" pid="3" name="ICV">
    <vt:lpwstr>F4DF97B130D04BE79D2D885DCEF7FCFA_12</vt:lpwstr>
  </property>
</Properties>
</file>