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p>
    <w:p>
      <w:pPr>
        <w:jc w:val="center"/>
      </w:pPr>
    </w:p>
    <w:p>
      <w:pPr>
        <w:jc w:val="center"/>
      </w:pPr>
    </w:p>
    <w:p>
      <w:pPr>
        <w:jc w:val="center"/>
      </w:pPr>
      <w:r>
        <w:rPr>
          <w:rFonts w:ascii="宋体" w:hAnsi="宋体" w:eastAsia="宋体"/>
          <w:b/>
          <w:sz w:val="44"/>
        </w:rPr>
        <w:t>文献精读报告：Highly efficient anion exchange membrane water electrolyzers via chromium-doped amorphous electrocatalysts（铬掺杂非晶电催化剂实现高效阴离子交换膜水电解槽）</w:t>
      </w:r>
    </w:p>
    <w:p/>
    <w:p/>
    <w:p/>
    <w:p/>
    <w:p/>
    <w:p/>
    <w:p/>
    <w:p/>
    <w:p/>
    <w:p/>
    <w:p/>
    <w:p/>
    <w:p/>
    <w:p/>
    <w:p>
      <w:pPr>
        <w:jc w:val="center"/>
      </w:pPr>
      <w:r>
        <w:rPr>
          <w:rFonts w:ascii="宋体" w:hAnsi="宋体" w:eastAsia="宋体"/>
          <w:sz w:val="24"/>
        </w:rPr>
        <w:t>编制日期：2026年09月18日</w:t>
      </w:r>
    </w:p>
    <w:p/>
    <w:p>
      <w:r>
        <w:br w:type="page"/>
      </w:r>
    </w:p>
    <w:p>
      <w:pPr>
        <w:spacing w:before="120" w:after="120"/>
        <w:ind w:left="567" w:right="567"/>
        <w:pBdr>
          <w:left w:val="single" w:sz="12" w:color="6366F1"/>
        </w:pBdr>
      </w:pPr>
      <w:r>
        <w:rPr>
          <w:rFonts w:ascii="Times New Roman" w:hAnsi="Times New Roman" w:eastAsia="宋体"/>
          <w:b/>
          <w:sz w:val="24"/>
        </w:rPr>
        <w:t>元信息</w:t>
      </w:r>
      <w:r>
        <w:rPr>
          <w:rFonts w:ascii="Times New Roman" w:hAnsi="Times New Roman" w:eastAsia="宋体"/>
          <w:b w:val="0"/>
          <w:sz w:val="24"/>
        </w:rPr>
        <w:t>：Sicheng Li, Tong Liu, Wei Zhang, Mingzhen Wang, Huijuan Zhang, Chunlan Qin, Lingling Zhang, Yudan Chen, Shuaiwei Jiang, Dong Liu, Xiaokang Liu, Huijuan Wang, Qiquan Luo, Tao Ding, Tao Yao（S. Li 与 T. Liu 共同第一作者；通讯作者 Wei Zhang、Tao Ding、Tao Yao）｜</w:t>
      </w:r>
      <w:r>
        <w:rPr>
          <w:rFonts w:ascii="Times New Roman" w:hAnsi="Times New Roman" w:eastAsia="宋体"/>
          <w:b w:val="0"/>
          <w:i/>
          <w:sz w:val="24"/>
        </w:rPr>
        <w:t>Nature Communications</w:t>
      </w:r>
      <w:r>
        <w:rPr>
          <w:rFonts w:ascii="Times New Roman" w:hAnsi="Times New Roman" w:eastAsia="宋体"/>
          <w:b w:val="0"/>
          <w:sz w:val="24"/>
        </w:rPr>
        <w:t xml:space="preserve"> 2024, 15, 3416（11 页）｜DOI: 10.1038/s41467-024-47736-0｜精读日期 2026-09-18</w:t>
      </w:r>
    </w:p>
    <w:p>
      <w:pPr>
        <w:spacing w:before="120" w:after="120"/>
        <w:ind w:left="567" w:right="567"/>
        <w:pBdr>
          <w:left w:val="single" w:sz="12" w:color="6366F1"/>
        </w:pBdr>
      </w:pPr>
      <w:r>
        <w:rPr>
          <w:rFonts w:ascii="Times New Roman" w:hAnsi="Times New Roman" w:eastAsia="宋体"/>
          <w:b w:val="0"/>
          <w:sz w:val="24"/>
        </w:rPr>
        <w:t>证据分级：R0=原文事实（附页码锚点，本文锚点＝PDF 页＝文章页 1–11）｜R1=外部背景知识｜R2=我的推断</w:t>
      </w:r>
    </w:p>
    <w:p>
      <w:pPr>
        <w:spacing w:before="120" w:after="120"/>
        <w:ind w:left="567" w:right="567"/>
        <w:pBdr>
          <w:left w:val="single" w:sz="12" w:color="6366F1"/>
        </w:pBdr>
      </w:pPr>
      <w:r>
        <w:rPr>
          <w:rFonts w:ascii="Times New Roman" w:hAnsi="Times New Roman" w:eastAsia="宋体"/>
          <w:b w:val="0"/>
          <w:sz w:val="24"/>
        </w:rPr>
        <w:t>术语中英对照：OER（析氧反应 oxygen evolution reaction）｜AEMWE（阴离子交换膜水电解槽 anion exchange membrane water electrolyzer）｜MEA（膜电极组件 membrane electrode assembly）｜vtc-XES（价-芯 X 射线发射谱 valence-to-core X-ray emission spectroscopy）｜XANES/EXAFS（X 射线吸收近边／扩展边谱）｜RDS（决速步 rate-determining step）｜ECSA（电化学活性面积）｜GDE（气体扩散电极 gas diffusion electrode）｜PGM（铂族金属）｜SR-IR（同步辐射红外）</w:t>
      </w:r>
    </w:p>
    <w:p/>
    <w:p>
      <w:pPr>
        <w:pStyle w:val="2"/>
        <w:pageBreakBefore w:val="0"/>
      </w:pPr>
      <w:r>
        <w:rPr>
          <w:rFonts w:ascii="Times New Roman" w:hAnsi="Times New Roman" w:eastAsia="宋体"/>
          <w:b/>
          <w:sz w:val="44"/>
        </w:rPr>
        <w:t>1. 文献速览总结</w:t>
      </w:r>
    </w:p>
    <w:p>
      <w:pPr>
        <w:spacing w:line="360" w:lineRule="auto"/>
        <w:ind w:firstLine="420"/>
      </w:pPr>
      <w:r>
        <w:rPr>
          <w:rFonts w:ascii="Times New Roman" w:hAnsi="Times New Roman" w:eastAsia="宋体"/>
          <w:b w:val="0"/>
          <w:sz w:val="24"/>
        </w:rPr>
        <w:t>本文解决 AEMWE 阳极 OER 的活性与稳定性兼顾问题，并给出可推广的电子结构调控判据（R0, p.1）。作者称 AEM 路线可用非铂族金属（non-PGM）阳极、膜更便宜、无氟基聚合物、无需耐酸栈材料；短板是合成未面向工业放大、Ni/Fe 基材料稳定性差（R0, p.1）。</w:t>
      </w:r>
    </w:p>
    <w:p>
      <w:pPr>
        <w:spacing w:line="360" w:lineRule="auto"/>
        <w:ind w:firstLine="420"/>
      </w:pPr>
      <w:r>
        <w:rPr>
          <w:rFonts w:ascii="Times New Roman" w:hAnsi="Times New Roman" w:eastAsia="宋体"/>
          <w:b w:val="0"/>
          <w:sz w:val="24"/>
        </w:rPr>
        <w:t>核心做法是</w:t>
      </w:r>
      <w:r>
        <w:rPr>
          <w:rFonts w:ascii="Times New Roman" w:hAnsi="Times New Roman" w:eastAsia="宋体"/>
          <w:b/>
          <w:sz w:val="24"/>
        </w:rPr>
        <w:t>一步液相还原法</w:t>
      </w:r>
      <w:r>
        <w:rPr>
          <w:rFonts w:ascii="Times New Roman" w:hAnsi="Times New Roman" w:eastAsia="宋体"/>
          <w:b w:val="0"/>
          <w:sz w:val="24"/>
        </w:rPr>
        <w:t>：NaBH₄ 与混合金属氯化物溶液搅拌反应，洗涤干燥得非晶 FeCrOₓ、CoCrOₓ、NiCrOₓ（R0, p.2）。CoCrOₓ 最优：η₁₀=268 mV，优于 CoOₓ（323 mV）与商业 RuO₂（314 mV）（R0, p.3）；η=400 mV 下电流密度为 FeCrOₓ/NiCrOₓ/RuO₂ 的 10.7/3.4/2 倍，比 CoOₓ 高 192%；Tafel 斜率 101.6 mV dec⁻¹（CoOₓ 146.6、RuO₂ 196.0）（R0, p.4）。器件层面以 CoCrOₓ 为阳极组装 AEMWE，2.1 V 达 1.5 A cm⁻²，60 °C、0.5 A cm⁻² 连续 120 h，衰减 &lt;4.9 mV h⁻¹（R0, p.1、p.4–5）。</w:t>
      </w:r>
    </w:p>
    <w:p>
      <w:pPr>
        <w:spacing w:line="360" w:lineRule="auto"/>
        <w:ind w:firstLine="420"/>
      </w:pPr>
      <w:r>
        <w:rPr>
          <w:rFonts w:ascii="Times New Roman" w:hAnsi="Times New Roman" w:eastAsia="宋体"/>
          <w:b w:val="0"/>
          <w:sz w:val="24"/>
        </w:rPr>
        <w:t>机制证据链：Cr 掺杂</w:t>
      </w:r>
      <w:r>
        <w:rPr>
          <w:rFonts w:ascii="Times New Roman" w:hAnsi="Times New Roman" w:eastAsia="宋体"/>
          <w:b/>
          <w:sz w:val="24"/>
        </w:rPr>
        <w:t>拉低</w:t>
      </w:r>
      <w:r>
        <w:rPr>
          <w:rFonts w:ascii="Times New Roman" w:hAnsi="Times New Roman" w:eastAsia="宋体"/>
          <w:b w:val="0"/>
          <w:sz w:val="24"/>
        </w:rPr>
        <w:t xml:space="preserve"> Co 平均价态（Cr 为 +3，与 Cr₂O₃ 重合）（R0, p.5）；反应中 Co 价态升高（Co L 边高能移 1.9 eV），原位 EXAFS 显示 Co–O 配位数由 4 增至 6 以上，vtc-XES 的 Kβ″ 峰（约 7690 eV）增强、Co–O 键收缩至约 1.92 Å（R0, p.5）；DFT 得 CoCrOₓ 的 RDS 为 </w:t>
      </w:r>
      <w:r>
        <w:rPr>
          <w:rFonts w:ascii="Times New Roman" w:hAnsi="Times New Roman" w:eastAsia="宋体"/>
          <w:b w:val="0"/>
          <w:i/>
          <w:sz w:val="24"/>
        </w:rPr>
        <w:t>OH→</w:t>
      </w:r>
      <w:r>
        <w:rPr>
          <w:rFonts w:ascii="Times New Roman" w:hAnsi="Times New Roman" w:eastAsia="宋体"/>
          <w:b w:val="0"/>
          <w:sz w:val="24"/>
        </w:rPr>
        <w:t>O，能垒 0.50 eV（FeCrOₓ 0.76、NiCrOₓ 0.63 eV）（R0, p.6）。</w:t>
      </w:r>
    </w:p>
    <w:p/>
    <w:p>
      <w:r>
        <w:br w:type="page"/>
      </w:r>
    </w:p>
    <w:p>
      <w:pPr>
        <w:pStyle w:val="2"/>
        <w:pageBreakBefore w:val="0"/>
      </w:pPr>
      <w:r>
        <w:rPr>
          <w:rFonts w:ascii="Times New Roman" w:hAnsi="Times New Roman" w:eastAsia="宋体"/>
          <w:b/>
          <w:sz w:val="44"/>
        </w:rPr>
        <w:t>2. 课题关联分析（与"电沉积 MnO₂ 稳定 Ru 酸性 OER"的关联：可从"非晶/掺杂催化剂的稳定性策略、电解槽器件级验证、局部反应环境调控、MnO₂/含锰物种的角色"切入）</w:t>
      </w:r>
    </w:p>
    <w:p>
      <w:pPr>
        <w:spacing w:line="360" w:lineRule="auto"/>
        <w:ind w:firstLine="420"/>
      </w:pPr>
      <w:r>
        <w:rPr>
          <w:rFonts w:ascii="Times New Roman" w:hAnsi="Times New Roman" w:eastAsia="宋体"/>
          <w:b/>
          <w:sz w:val="24"/>
        </w:rPr>
        <w:t>1）器件级验证的完整范式。</w:t>
      </w:r>
      <w:r>
        <w:rPr>
          <w:rFonts w:ascii="Times New Roman" w:hAnsi="Times New Roman" w:eastAsia="宋体"/>
          <w:b w:val="0"/>
          <w:sz w:val="24"/>
        </w:rPr>
        <w:t xml:space="preserve"> 本文把论证从半电池推进到 5 cm² AEMWE，并把器件阻抗分解为欧姆电阻 OR、电荷转移电阻 CTR、传质电阻 MTR，以最低的 CTR/MTR 解释活性来源（R0, p.5）。本课题做酸性单电池可沿用"半电池→器件→三电阻分解→mV h⁻¹ 衰减率"框架，差别是必须增加</w:t>
      </w:r>
      <w:r>
        <w:rPr>
          <w:rFonts w:ascii="Times New Roman" w:hAnsi="Times New Roman" w:eastAsia="宋体"/>
          <w:b/>
          <w:sz w:val="24"/>
        </w:rPr>
        <w:t>出口液 Ru/Mn 浓度监测</w:t>
      </w:r>
      <w:r>
        <w:rPr>
          <w:rFonts w:ascii="Times New Roman" w:hAnsi="Times New Roman" w:eastAsia="宋体"/>
          <w:b w:val="0"/>
          <w:sz w:val="24"/>
        </w:rPr>
        <w:t>（R2）。</w:t>
      </w:r>
    </w:p>
    <w:p>
      <w:pPr>
        <w:spacing w:line="360" w:lineRule="auto"/>
        <w:ind w:firstLine="420"/>
      </w:pPr>
      <w:r>
        <w:rPr>
          <w:rFonts w:ascii="Times New Roman" w:hAnsi="Times New Roman" w:eastAsia="宋体"/>
          <w:b/>
          <w:sz w:val="24"/>
        </w:rPr>
        <w:t>2）掺杂与非晶的稳定性策略及其风险。</w:t>
      </w:r>
      <w:r>
        <w:rPr>
          <w:rFonts w:ascii="Times New Roman" w:hAnsi="Times New Roman" w:eastAsia="宋体"/>
          <w:b w:val="0"/>
          <w:sz w:val="24"/>
        </w:rPr>
        <w:t xml:space="preserve"> "高价位掺杂→降低活性金属平均价态→优化中间体吸附→降低 RDS 能垒"是本文的因果主线（R0, p.5–6）。对本课题的启发：若 Mn 掺入 RuO₂（或 Ru 嵌入 MnO₂）能改变 Ru 的价态与配位环境，就可能同时改变活性与</w:t>
      </w:r>
      <w:r>
        <w:rPr>
          <w:rFonts w:ascii="Times New Roman" w:hAnsi="Times New Roman" w:eastAsia="宋体"/>
          <w:b/>
          <w:sz w:val="24"/>
        </w:rPr>
        <w:t>溶出倾向</w:t>
      </w:r>
      <w:r>
        <w:rPr>
          <w:rFonts w:ascii="Times New Roman" w:hAnsi="Times New Roman" w:eastAsia="宋体"/>
          <w:b w:val="0"/>
          <w:sz w:val="24"/>
        </w:rPr>
        <w:t>（R2）。反面警示同样重要：碱性下 Cr 仍部分电解溶解（反应后 EDS 显示 Cr 含量下降），原位下 Co–Cr 散射路径消失、只剩 Co–O 与 Co–Co（R0, p.5、p.9）——"掺杂剂自身溶出"是共性风险，酸性 OER 中 Mn 的溶解风险只会更高（R1/R2）。</w:t>
      </w:r>
    </w:p>
    <w:p>
      <w:pPr>
        <w:spacing w:line="360" w:lineRule="auto"/>
        <w:ind w:firstLine="420"/>
      </w:pPr>
      <w:r>
        <w:rPr>
          <w:rFonts w:ascii="Times New Roman" w:hAnsi="Times New Roman" w:eastAsia="宋体"/>
          <w:b/>
          <w:sz w:val="24"/>
        </w:rPr>
        <w:t>3）非晶结构"准稳定"的证据。</w:t>
      </w:r>
      <w:r>
        <w:rPr>
          <w:rFonts w:ascii="Times New Roman" w:hAnsi="Times New Roman" w:eastAsia="宋体"/>
          <w:b w:val="0"/>
          <w:sz w:val="24"/>
        </w:rPr>
        <w:t xml:space="preserve"> 反应后 HRTEM 显示形貌基本保持，但出现短程晶格条纹与纳米孔，SAED 出现亮点、非晶态大体保留（R0, p.5）。提示：电沉积的非晶/层状 MnO₂ 同样会重构，结构评价须做在"反应后"（R2）。</w:t>
      </w:r>
    </w:p>
    <w:p>
      <w:pPr>
        <w:spacing w:line="360" w:lineRule="auto"/>
        <w:ind w:firstLine="420"/>
      </w:pPr>
      <w:r>
        <w:rPr>
          <w:rFonts w:ascii="Times New Roman" w:hAnsi="Times New Roman" w:eastAsia="宋体"/>
          <w:b/>
          <w:sz w:val="24"/>
        </w:rPr>
        <w:t>4）直系文献线索。</w:t>
      </w:r>
      <w:r>
        <w:rPr>
          <w:rFonts w:ascii="Times New Roman" w:hAnsi="Times New Roman" w:eastAsia="宋体"/>
          <w:b w:val="0"/>
          <w:sz w:val="24"/>
        </w:rPr>
        <w:t xml:space="preserve"> 本文参考文献 40 为 Lin 等《In-situ reconstructed Ru atom array on α-MnO₂ with enhanced performance for acidic water oxidation》（</w:t>
      </w:r>
      <w:r>
        <w:rPr>
          <w:rFonts w:ascii="Times New Roman" w:hAnsi="Times New Roman" w:eastAsia="宋体"/>
          <w:b w:val="0"/>
          <w:i/>
          <w:sz w:val="24"/>
        </w:rPr>
        <w:t>Nat. Catal.</w:t>
      </w:r>
      <w:r>
        <w:rPr>
          <w:rFonts w:ascii="Times New Roman" w:hAnsi="Times New Roman" w:eastAsia="宋体"/>
          <w:b w:val="0"/>
          <w:sz w:val="24"/>
        </w:rPr>
        <w:t xml:space="preserve"> 2021, 4, 1012–1023）（R0, p.11）——即本课题直系前作（R1：α-MnO₂ 负载 Ru），应继续追踪其引用网络。</w:t>
      </w:r>
    </w:p>
    <w:p/>
    <w:p>
      <w:r>
        <w:br w:type="page"/>
      </w:r>
    </w:p>
    <w:p>
      <w:pPr>
        <w:pStyle w:val="2"/>
        <w:pageBreakBefore w:val="0"/>
      </w:pPr>
      <w:r>
        <w:rPr>
          <w:rFonts w:ascii="Times New Roman" w:hAnsi="Times New Roman" w:eastAsia="宋体"/>
          <w:b/>
          <w:sz w:val="44"/>
        </w:rPr>
        <w:t>3. 内容深度解读（含关键数据，逐条标 R0 页码）</w:t>
      </w:r>
    </w:p>
    <w:p>
      <w:pPr>
        <w:spacing w:line="360" w:lineRule="auto"/>
        <w:ind w:firstLine="420"/>
      </w:pPr>
      <w:r>
        <w:rPr>
          <w:rFonts w:ascii="Times New Roman" w:hAnsi="Times New Roman" w:eastAsia="宋体"/>
          <w:b/>
          <w:sz w:val="24"/>
        </w:rPr>
        <w:t>（1）合成与结构（R0, p.2、p.8）。</w:t>
      </w:r>
      <w:r>
        <w:rPr>
          <w:rFonts w:ascii="Times New Roman" w:hAnsi="Times New Roman" w:eastAsia="宋体"/>
          <w:b w:val="0"/>
          <w:sz w:val="24"/>
        </w:rPr>
        <w:t xml:space="preserve"> 混合金属氯化物 + NaBH₄ 还原；SEM 多孔；TEM 无序原子结构、约 20 nm 颗粒；HRTEM 与球差 HAADF-STEM 均无晶格条纹；XRD 峰宽而弱；SAED 衍射环（内环明亮＝短程有序）；EDS mapping 显示 Co、Cr、O 均匀、无分相；ICP-AES 显示 M:Cr 原子比接近 1:1。合成细节：CoCl₂·6H₂O 与 CrCl₃·6H₂O 配成 2 M 溶液各取 2 mL 混合，滴加 NaBH₄（3 g/20 mL），搅拌 15 min、静置过夜、冷冻干燥、洗涤后真空干燥。</w:t>
      </w:r>
    </w:p>
    <w:p>
      <w:pPr>
        <w:spacing w:line="360" w:lineRule="auto"/>
        <w:ind w:firstLine="420"/>
      </w:pPr>
      <w:r>
        <w:rPr>
          <w:rFonts w:ascii="Times New Roman" w:hAnsi="Times New Roman" w:eastAsia="宋体"/>
          <w:b/>
          <w:sz w:val="24"/>
        </w:rPr>
        <w:t>（2）半电池电化学（R0, p.3–4、p.8）。</w:t>
      </w:r>
      <w:r>
        <w:rPr>
          <w:rFonts w:ascii="Times New Roman" w:hAnsi="Times New Roman" w:eastAsia="宋体"/>
          <w:b w:val="0"/>
          <w:sz w:val="24"/>
        </w:rPr>
        <w:t xml:space="preserve"> 条件：O₂ 饱和 1 M KOH、三电极、iR 补偿、碳纸载量 0.36 mg cm⁻²、扫速 5 mV s⁻¹；EIS 固定 1.57 V vs RHE；ECSA 取 0.875–0.975 V vs RHE 双电层电容。数据：η₁₀=268 mV（CoCrOₓ）；η=400 mV 下电流密度为 FeCrOₓ/NiCrOₓ/RuO₂ 的 10.7/3.4/2 倍，比 CoOₓ 高 192%；Tafel 101.6、146.6、196.0 mV dec⁻¹（CoCrOₓ/CoOₓ/RuO₂）；R_ct 依次 9.0（CoCrOₓ）、11.1（RuO₂）、20.1（CoOₓ）、21.6（NiCrOₓ）、45.4 Ω（FeCrOₓ）；C_dl 依次 16.45、9.95、12.12、7.56、6.13 mF cm⁻²。半电池稳定性：1.56 V 恒压 50 h 无明显损失，电流先升后稳（归因于活性物质生成与电解液渗入孔道）。</w:t>
      </w:r>
    </w:p>
    <w:p>
      <w:pPr>
        <w:spacing w:line="360" w:lineRule="auto"/>
        <w:ind w:firstLine="420"/>
      </w:pPr>
      <w:r>
        <w:rPr>
          <w:rFonts w:ascii="Times New Roman" w:hAnsi="Times New Roman" w:eastAsia="宋体"/>
          <w:b/>
          <w:sz w:val="24"/>
        </w:rPr>
        <w:t>（3）器件级性能（R0, p.4–5、p.8）。</w:t>
      </w:r>
      <w:r>
        <w:rPr>
          <w:rFonts w:ascii="Times New Roman" w:hAnsi="Times New Roman" w:eastAsia="宋体"/>
          <w:b w:val="0"/>
          <w:sz w:val="24"/>
        </w:rPr>
        <w:t xml:space="preserve"> 组装：不锈钢集流板、PTFE 垫片、钛毡、AEM、碳纸；阳极 CoCrOₓ + PiperION 离聚物，阴极 Pt/C（TANAKA 40 wt%）；喷涂于 AEM（PiperION-A60-HCO₃）或 Pt-Ti 毡成 GDE；膜经 0.5 M KOH 浸泡并冲洗转为 OH⁻ 型；有效面积 5 cm²，夹具扭矩 8 N·m。性能：2.1 V 时 1.5 A cm⁻²；内阻 15/20/22/24 mΩ（CoOₓ/FeCrOₓ/NiCrOₓ/CoCrOₓ）；60 °C、0.5 A cm⁻² 恒流 120 h（图 3h 用箭头标出</w:t>
      </w:r>
      <w:r>
        <w:rPr>
          <w:rFonts w:ascii="Times New Roman" w:hAnsi="Times New Roman" w:eastAsia="宋体"/>
          <w:b/>
          <w:sz w:val="24"/>
        </w:rPr>
        <w:t>更换电解液</w:t>
      </w:r>
      <w:r>
        <w:rPr>
          <w:rFonts w:ascii="Times New Roman" w:hAnsi="Times New Roman" w:eastAsia="宋体"/>
          <w:b w:val="0"/>
          <w:sz w:val="24"/>
        </w:rPr>
        <w:t>时刻）；变电流 operando EIS 显示电阻随电流增大而下降。</w:t>
      </w:r>
    </w:p>
    <w:p>
      <w:pPr>
        <w:spacing w:line="360" w:lineRule="auto"/>
        <w:ind w:firstLine="420"/>
      </w:pPr>
      <w:r>
        <w:rPr>
          <w:rFonts w:ascii="Times New Roman" w:hAnsi="Times New Roman" w:eastAsia="宋体"/>
          <w:b/>
          <w:sz w:val="24"/>
        </w:rPr>
        <w:t>（4）价态与局域结构演化（R0, p.5、p.8）。</w:t>
      </w:r>
      <w:r>
        <w:rPr>
          <w:rFonts w:ascii="Times New Roman" w:hAnsi="Times New Roman" w:eastAsia="宋体"/>
          <w:b w:val="0"/>
          <w:sz w:val="24"/>
        </w:rPr>
        <w:t xml:space="preserve"> Cr 掺杂使 Co 平均价态降低（+2/+3 共存），Cr 为 +3（与 Cr₂O₃ 边位重合）；反应后 Co L 边高能移 1.9 eV、Co²⁺ 卫星峰几乎消失。原位 XANES：加压后边位正移；EXAFS 拟合第一壳层 Co–O 配位数由 4 增至 6 以上，且边位与配位数正相关。vtc-XES：Kβ″ 峰增强＝Co–O σ 相互作用增强，差分谱强度与 Co–O 键长负相关，加压后谱形接近 Co₃O₄（R_Co–O=1.92 Å）。原位条件序列：ex situ、OCV、1.42 V、1.67 V vs RHE、反应后。</w:t>
      </w:r>
    </w:p>
    <w:p>
      <w:pPr>
        <w:spacing w:line="360" w:lineRule="auto"/>
        <w:ind w:firstLine="420"/>
      </w:pPr>
      <w:r>
        <w:rPr>
          <w:rFonts w:ascii="Times New Roman" w:hAnsi="Times New Roman" w:eastAsia="宋体"/>
          <w:b/>
          <w:sz w:val="24"/>
        </w:rPr>
        <w:t>（5）中间体与理论（R0, p.6–7、p.10）。</w:t>
      </w:r>
      <w:r>
        <w:rPr>
          <w:rFonts w:ascii="Times New Roman" w:hAnsi="Times New Roman" w:eastAsia="宋体"/>
          <w:b w:val="0"/>
          <w:sz w:val="24"/>
        </w:rPr>
        <w:t xml:space="preserve"> 原位 SR-IR（NSRL BL01B，ZnSe 窗，1.1–1.8 V vs RHE 每 0.1 V 一档）给出三个中间体：</w:t>
      </w:r>
      <w:r>
        <w:rPr>
          <w:rFonts w:ascii="Times New Roman" w:hAnsi="Times New Roman" w:eastAsia="宋体"/>
          <w:b w:val="0"/>
          <w:i/>
          <w:sz w:val="24"/>
        </w:rPr>
        <w:t>OH 3780、</w:t>
      </w:r>
      <w:r>
        <w:rPr>
          <w:rFonts w:ascii="Times New Roman" w:hAnsi="Times New Roman" w:eastAsia="宋体"/>
          <w:b w:val="0"/>
          <w:sz w:val="24"/>
        </w:rPr>
        <w:t>OOH 1014、</w:t>
      </w:r>
      <w:r>
        <w:rPr>
          <w:rFonts w:ascii="Times New Roman" w:hAnsi="Times New Roman" w:eastAsia="宋体"/>
          <w:b w:val="0"/>
          <w:i/>
          <w:sz w:val="24"/>
        </w:rPr>
        <w:t xml:space="preserve">O 930 cm⁻¹（正文表述）；进入 OER 区后 </w:t>
      </w:r>
      <w:r>
        <w:rPr>
          <w:rFonts w:ascii="Times New Roman" w:hAnsi="Times New Roman" w:eastAsia="宋体"/>
          <w:b w:val="0"/>
          <w:sz w:val="24"/>
        </w:rPr>
        <w:t xml:space="preserve">OH 与 </w:t>
      </w:r>
      <w:r>
        <w:rPr>
          <w:rFonts w:ascii="Times New Roman" w:hAnsi="Times New Roman" w:eastAsia="宋体"/>
          <w:b w:val="0"/>
          <w:i/>
          <w:sz w:val="24"/>
        </w:rPr>
        <w:t>O 峰增强、</w:t>
      </w:r>
      <w:r>
        <w:rPr>
          <w:rFonts w:ascii="Times New Roman" w:hAnsi="Times New Roman" w:eastAsia="宋体"/>
          <w:b w:val="0"/>
          <w:sz w:val="24"/>
        </w:rPr>
        <w:t xml:space="preserve">OOH 峰减弱甚至消失；FeCrOₓ、NiCrOₓ 在任何电位下都无 </w:t>
      </w:r>
      <w:r>
        <w:rPr>
          <w:rFonts w:ascii="Times New Roman" w:hAnsi="Times New Roman" w:eastAsia="宋体"/>
          <w:b w:val="0"/>
          <w:i/>
          <w:sz w:val="24"/>
        </w:rPr>
        <w:t xml:space="preserve">O 峰。DFT（VASP、PBE、DFT-D3、Hubbard-U：Fe 3.0/Co 3.5/Ni 5.5 eV，(110) 面，截断能 500 eV）：CoCrOₓ 的 RDS 为 </w:t>
      </w:r>
      <w:r>
        <w:rPr>
          <w:rFonts w:ascii="Times New Roman" w:hAnsi="Times New Roman" w:eastAsia="宋体"/>
          <w:b w:val="0"/>
          <w:sz w:val="24"/>
        </w:rPr>
        <w:t>OH→</w:t>
      </w:r>
      <w:r>
        <w:rPr>
          <w:rFonts w:ascii="Times New Roman" w:hAnsi="Times New Roman" w:eastAsia="宋体"/>
          <w:b w:val="0"/>
          <w:i/>
          <w:sz w:val="24"/>
        </w:rPr>
        <w:t xml:space="preserve">O（0.50 eV @1.23 V），FeCrOₓ、NiCrOₓ 的 RDS 为 </w:t>
      </w:r>
      <w:r>
        <w:rPr>
          <w:rFonts w:ascii="Times New Roman" w:hAnsi="Times New Roman" w:eastAsia="宋体"/>
          <w:b w:val="0"/>
          <w:sz w:val="24"/>
        </w:rPr>
        <w:t>O→</w:t>
      </w:r>
      <w:r>
        <w:rPr>
          <w:rFonts w:ascii="Times New Roman" w:hAnsi="Times New Roman" w:eastAsia="宋体"/>
          <w:b w:val="0"/>
          <w:i/>
          <w:sz w:val="24"/>
        </w:rPr>
        <w:t xml:space="preserve">OOH（0.76、0.63 eV）；CoCrOₓ 向 </w:t>
      </w:r>
      <w:r>
        <w:rPr>
          <w:rFonts w:ascii="Times New Roman" w:hAnsi="Times New Roman" w:eastAsia="宋体"/>
          <w:b w:val="0"/>
          <w:sz w:val="24"/>
        </w:rPr>
        <w:t>OH 转移电荷更少、吸附更弱；TDOS 在费米能级处态密度更高，PDOS 显示导带主要来自 Cr d 轨道。</w:t>
      </w:r>
    </w:p>
    <w:p>
      <w:pPr>
        <w:spacing w:line="360" w:lineRule="auto"/>
        <w:ind w:firstLine="420"/>
      </w:pPr>
      <w:r>
        <w:rPr>
          <w:rFonts w:ascii="Times New Roman" w:hAnsi="Times New Roman" w:eastAsia="宋体"/>
          <w:b/>
          <w:sz w:val="24"/>
        </w:rPr>
        <w:t>（6）EXAFS 拟合的严谨性（R0, p.9）。</w:t>
      </w:r>
      <w:r>
        <w:rPr>
          <w:rFonts w:ascii="Times New Roman" w:hAnsi="Times New Roman" w:eastAsia="宋体"/>
          <w:b w:val="0"/>
          <w:sz w:val="24"/>
        </w:rPr>
        <w:t xml:space="preserve"> 核算独立点数 N_idp（离位/OCV 约 10.9、变量 9–10；工作电位与反应后 ≈10.8、变量 6），S₀² 由 Co 箔固定为 0.71，三壳层模型 Co–O（约 1.5 Å）、Co–Co（约 2.3 Å）、Co–Cr（约 2.8 Å），全部 R-factor ≤0.020。</w:t>
      </w:r>
    </w:p>
    <w:p/>
    <w:p>
      <w:r>
        <w:br w:type="page"/>
      </w:r>
    </w:p>
    <w:p>
      <w:pPr>
        <w:pStyle w:val="2"/>
        <w:pageBreakBefore w:val="0"/>
      </w:pPr>
      <w:r>
        <w:rPr>
          <w:rFonts w:ascii="Times New Roman" w:hAnsi="Times New Roman" w:eastAsia="宋体"/>
          <w:b/>
          <w:sz w:val="44"/>
        </w:rPr>
        <w:t>4. 技术难点识别</w:t>
      </w:r>
    </w:p>
    <w:p>
      <w:pPr>
        <w:spacing w:line="360" w:lineRule="auto"/>
        <w:ind w:left="420"/>
      </w:pPr>
      <w:r>
        <w:rPr>
          <w:rFonts w:ascii="Times New Roman" w:hAnsi="Times New Roman" w:eastAsia="宋体"/>
          <w:b w:val="0"/>
          <w:sz w:val="24"/>
        </w:rPr>
        <w:t xml:space="preserve">1. </w:t>
      </w:r>
      <w:r>
        <w:rPr>
          <w:rFonts w:ascii="Times New Roman" w:hAnsi="Times New Roman" w:eastAsia="宋体"/>
          <w:b/>
          <w:sz w:val="24"/>
        </w:rPr>
        <w:t>非晶体系"键"的判定困难。</w:t>
      </w:r>
      <w:r>
        <w:rPr>
          <w:rFonts w:ascii="Times New Roman" w:hAnsi="Times New Roman" w:eastAsia="宋体"/>
          <w:b w:val="0"/>
          <w:sz w:val="24"/>
        </w:rPr>
        <w:t xml:space="preserve"> 作者指出 EXAFS 无法区分原子序数相近的配体（C、N、O）或配体的质子化状态，故引入 vtc-XES（R0, p.5）。含义：要证明 Ru–O–Mn 界面耦合，仅靠 Ru K 边 EXAFS 不足以排除 Ru–O–Ru／Ru–OH，需 vtc-XES 或 PDF（差分 PDF）、Ru 与 Mn K 边同时拟合（R1/R2）。</w:t>
      </w:r>
    </w:p>
    <w:p>
      <w:pPr>
        <w:spacing w:line="360" w:lineRule="auto"/>
        <w:ind w:left="420"/>
      </w:pPr>
      <w:r>
        <w:rPr>
          <w:rFonts w:ascii="Times New Roman" w:hAnsi="Times New Roman" w:eastAsia="宋体"/>
          <w:b w:val="0"/>
          <w:sz w:val="24"/>
        </w:rPr>
        <w:t xml:space="preserve">2. </w:t>
      </w:r>
      <w:r>
        <w:rPr>
          <w:rFonts w:ascii="Times New Roman" w:hAnsi="Times New Roman" w:eastAsia="宋体"/>
          <w:b/>
          <w:sz w:val="24"/>
        </w:rPr>
        <w:t>原位数据点稀疏。</w:t>
      </w:r>
      <w:r>
        <w:rPr>
          <w:rFonts w:ascii="Times New Roman" w:hAnsi="Times New Roman" w:eastAsia="宋体"/>
          <w:b w:val="0"/>
          <w:sz w:val="24"/>
        </w:rPr>
        <w:t xml:space="preserve"> 原位 XAFS 仅两个工作电位点（1.42、1.67 V），加压后金属-金属壳层简化为两壳层（R0, p.8–9）；而酸性 OER 失活常发生在最初数十小时，难以捕捉瞬态重构（R2）。</w:t>
      </w:r>
    </w:p>
    <w:p>
      <w:pPr>
        <w:spacing w:line="360" w:lineRule="auto"/>
        <w:ind w:left="420"/>
      </w:pPr>
      <w:r>
        <w:rPr>
          <w:rFonts w:ascii="Times New Roman" w:hAnsi="Times New Roman" w:eastAsia="宋体"/>
          <w:b w:val="0"/>
          <w:sz w:val="24"/>
        </w:rPr>
        <w:t xml:space="preserve">3. </w:t>
      </w:r>
      <w:r>
        <w:rPr>
          <w:rFonts w:ascii="Times New Roman" w:hAnsi="Times New Roman" w:eastAsia="宋体"/>
          <w:b/>
          <w:sz w:val="24"/>
        </w:rPr>
        <w:t>器件耐久的"换液"处理掩盖溶出型失活。</w:t>
      </w:r>
      <w:r>
        <w:rPr>
          <w:rFonts w:ascii="Times New Roman" w:hAnsi="Times New Roman" w:eastAsia="宋体"/>
          <w:b w:val="0"/>
          <w:sz w:val="24"/>
        </w:rPr>
        <w:t xml:space="preserve"> 图 3h 箭头标出更换电解液时刻（R0, p.4），全文未定量反应后电解液金属浓度（仅 ICP-AES 测初始配比，R0, p.8）。对 Ru 的溶解型失活而言，换液＝移除已溶出 Ru，衰减曲线会偏乐观（R2）。</w:t>
      </w:r>
    </w:p>
    <w:p>
      <w:pPr>
        <w:spacing w:line="360" w:lineRule="auto"/>
        <w:ind w:left="420"/>
      </w:pPr>
      <w:r>
        <w:rPr>
          <w:rFonts w:ascii="Times New Roman" w:hAnsi="Times New Roman" w:eastAsia="宋体"/>
          <w:b w:val="0"/>
          <w:sz w:val="24"/>
        </w:rPr>
        <w:t xml:space="preserve">4. </w:t>
      </w:r>
      <w:r>
        <w:rPr>
          <w:rFonts w:ascii="Times New Roman" w:hAnsi="Times New Roman" w:eastAsia="宋体"/>
          <w:b/>
          <w:sz w:val="24"/>
        </w:rPr>
        <w:t>衰减率与工业要求的差距。</w:t>
      </w:r>
      <w:r>
        <w:rPr>
          <w:rFonts w:ascii="Times New Roman" w:hAnsi="Times New Roman" w:eastAsia="宋体"/>
          <w:b w:val="0"/>
          <w:sz w:val="24"/>
        </w:rPr>
        <w:t xml:space="preserve"> 摘要给出 &lt;4.9 mV h⁻¹（R0, p.1）；线性外推 1000 h 漂移达数伏量级（R2，原文未做该外推），与工业电解槽寿命要求仍有数量级差距（R1）。</w:t>
      </w:r>
    </w:p>
    <w:p>
      <w:pPr>
        <w:spacing w:line="360" w:lineRule="auto"/>
        <w:ind w:left="420"/>
      </w:pPr>
      <w:r>
        <w:rPr>
          <w:rFonts w:ascii="Times New Roman" w:hAnsi="Times New Roman" w:eastAsia="宋体"/>
          <w:b w:val="0"/>
          <w:sz w:val="24"/>
        </w:rPr>
        <w:t xml:space="preserve">5. </w:t>
      </w:r>
      <w:r>
        <w:rPr>
          <w:rFonts w:ascii="Times New Roman" w:hAnsi="Times New Roman" w:eastAsia="宋体"/>
          <w:b/>
          <w:sz w:val="24"/>
        </w:rPr>
        <w:t>碱性结论不能直接外推到酸性。</w:t>
      </w:r>
      <w:r>
        <w:rPr>
          <w:rFonts w:ascii="Times New Roman" w:hAnsi="Times New Roman" w:eastAsia="宋体"/>
          <w:b w:val="0"/>
          <w:sz w:val="24"/>
        </w:rPr>
        <w:t xml:space="preserve"> Cr 溶解、Co 价态升高、Co–O 配位数上升均在碱性介质获得；酸性 Ru 的溶解机制与 Co 基氧化物不同（R1/R2）。</w:t>
      </w:r>
    </w:p>
    <w:p>
      <w:pPr>
        <w:spacing w:line="360" w:lineRule="auto"/>
        <w:ind w:left="420"/>
      </w:pPr>
      <w:r>
        <w:rPr>
          <w:rFonts w:ascii="Times New Roman" w:hAnsi="Times New Roman" w:eastAsia="宋体"/>
          <w:b w:val="0"/>
          <w:sz w:val="24"/>
        </w:rPr>
        <w:t xml:space="preserve">6. </w:t>
      </w:r>
      <w:r>
        <w:rPr>
          <w:rFonts w:ascii="Times New Roman" w:hAnsi="Times New Roman" w:eastAsia="宋体"/>
          <w:b/>
          <w:sz w:val="24"/>
        </w:rPr>
        <w:t>图表标注不一致（阅读风险）。</w:t>
      </w:r>
      <w:r>
        <w:rPr>
          <w:rFonts w:ascii="Times New Roman" w:hAnsi="Times New Roman" w:eastAsia="宋体"/>
          <w:b w:val="0"/>
          <w:sz w:val="24"/>
        </w:rPr>
        <w:t xml:space="preserve"> 正文称 </w:t>
      </w:r>
      <w:r>
        <w:rPr>
          <w:rFonts w:ascii="Times New Roman" w:hAnsi="Times New Roman" w:eastAsia="宋体"/>
          <w:b w:val="0"/>
          <w:i/>
          <w:sz w:val="24"/>
        </w:rPr>
        <w:t>OH 3780、</w:t>
      </w:r>
      <w:r>
        <w:rPr>
          <w:rFonts w:ascii="Times New Roman" w:hAnsi="Times New Roman" w:eastAsia="宋体"/>
          <w:b w:val="0"/>
          <w:sz w:val="24"/>
        </w:rPr>
        <w:t>OOH 1014、</w:t>
      </w:r>
      <w:r>
        <w:rPr>
          <w:rFonts w:ascii="Times New Roman" w:hAnsi="Times New Roman" w:eastAsia="宋体"/>
          <w:b w:val="0"/>
          <w:i/>
          <w:sz w:val="24"/>
        </w:rPr>
        <w:t xml:space="preserve">O 930 cm⁻¹，图 5b 图例则标 </w:t>
      </w:r>
      <w:r>
        <w:rPr>
          <w:rFonts w:ascii="Times New Roman" w:hAnsi="Times New Roman" w:eastAsia="宋体"/>
          <w:b w:val="0"/>
          <w:sz w:val="24"/>
        </w:rPr>
        <w:t>O 930、</w:t>
      </w:r>
      <w:r>
        <w:rPr>
          <w:rFonts w:ascii="Times New Roman" w:hAnsi="Times New Roman" w:eastAsia="宋体"/>
          <w:b w:val="0"/>
          <w:i/>
          <w:sz w:val="24"/>
        </w:rPr>
        <w:t>OH 1014、</w:t>
      </w:r>
      <w:r>
        <w:rPr>
          <w:rFonts w:ascii="Times New Roman" w:hAnsi="Times New Roman" w:eastAsia="宋体"/>
          <w:b w:val="0"/>
          <w:sz w:val="24"/>
        </w:rPr>
        <w:t>OOH 3780 cm⁻¹（R0, p.6）；引用前须回原图核对（R2）。OCR 版另有字符混淆，数值须核原版 PDF。</w:t>
      </w:r>
    </w:p>
    <w:p/>
    <w:p>
      <w:r>
        <w:br w:type="page"/>
      </w:r>
    </w:p>
    <w:p>
      <w:pPr>
        <w:pStyle w:val="2"/>
        <w:pageBreakBefore w:val="0"/>
      </w:pPr>
      <w:r>
        <w:rPr>
          <w:rFonts w:ascii="Times New Roman" w:hAnsi="Times New Roman" w:eastAsia="宋体"/>
          <w:b/>
          <w:sz w:val="44"/>
        </w:rPr>
        <w:t>5. 可借鉴点（对实验设计直接可用：合成（是否含电沉积）、表征、电化学测试、器件级验证、稳定性评价）</w:t>
      </w:r>
    </w:p>
    <w:p>
      <w:pPr>
        <w:spacing w:line="360" w:lineRule="auto"/>
        <w:ind w:firstLine="420"/>
      </w:pPr>
      <w:r>
        <w:rPr>
          <w:rFonts w:ascii="Times New Roman" w:hAnsi="Times New Roman" w:eastAsia="宋体"/>
          <w:b/>
          <w:sz w:val="24"/>
        </w:rPr>
        <w:t>合成（明确不含电沉积）。</w:t>
      </w:r>
      <w:r>
        <w:rPr>
          <w:rFonts w:ascii="Times New Roman" w:hAnsi="Times New Roman" w:eastAsia="宋体"/>
          <w:b w:val="0"/>
          <w:sz w:val="24"/>
        </w:rPr>
        <w:t xml:space="preserve"> 本文为一步液相 NaBH₄ 还原（R0, p.2、p.8），</w:t>
      </w:r>
      <w:r>
        <w:rPr>
          <w:rFonts w:ascii="Times New Roman" w:hAnsi="Times New Roman" w:eastAsia="宋体"/>
          <w:b/>
          <w:sz w:val="24"/>
        </w:rPr>
        <w:t>无电沉积步骤</w:t>
      </w:r>
      <w:r>
        <w:rPr>
          <w:rFonts w:ascii="Times New Roman" w:hAnsi="Times New Roman" w:eastAsia="宋体"/>
          <w:b w:val="0"/>
          <w:sz w:val="24"/>
        </w:rPr>
        <w:t>，参数不能照搬；可迁移的是设计原则：高价位掺杂剂降低活性金属平均价态、非晶化提高位点密度（R2）。可执行对照（R2）：① 空白——纯电沉积 MnO₂、纯 Ru（或 RuO₂）；② 共沉积——Ru–MnO₂，Mn:Ru 设 1:3、1:1、3:1；③ 分层——先电沉积 MnO₂ 再沉积/浸渍 Ru；④ 参比——商业 RuO₂。成分比按性能筛选确定（本文 1:1 最优，R0, p.3）。</w:t>
      </w:r>
    </w:p>
    <w:p>
      <w:pPr>
        <w:spacing w:line="360" w:lineRule="auto"/>
        <w:ind w:firstLine="420"/>
      </w:pPr>
      <w:r>
        <w:rPr>
          <w:rFonts w:ascii="Times New Roman" w:hAnsi="Times New Roman" w:eastAsia="宋体"/>
          <w:b/>
          <w:sz w:val="24"/>
        </w:rPr>
        <w:t>表征。</w:t>
      </w:r>
      <w:r>
        <w:rPr>
          <w:rFonts w:ascii="Times New Roman" w:hAnsi="Times New Roman" w:eastAsia="宋体"/>
          <w:b w:val="0"/>
          <w:sz w:val="24"/>
        </w:rPr>
        <w:t xml:space="preserve"> ① 非晶性多手段交叉：XRD + HRTEM + SAED + 球差 HAADF-STEM（R0, p.2）；② EDS mapping 证明无分相，ICP-AES/MS 测 Ru:Mn 比（R0, p.2、p.8）；③ 原位 XAFS 电位序列照抄五点设计（ex situ、OCV、两个工作电位、反应后），酸性窗口改为 OCV、1.30、1.40、1.50、1.60 V vs RHE（R0, p.8）；④ EXAFS 报告 N_idp、S₀²、R-factor，建立 Ru–O、Ru–Ru、Ru–Mn 三壳层模型（R0, p.9；R2：壳层归属为我的设定）；⑤ 补做 vtc-XES 判定 Ru–O–Mn 配体性质（R0, p.5；R2）。</w:t>
      </w:r>
    </w:p>
    <w:p>
      <w:pPr>
        <w:spacing w:line="360" w:lineRule="auto"/>
        <w:ind w:firstLine="420"/>
      </w:pPr>
      <w:r>
        <w:rPr>
          <w:rFonts w:ascii="Times New Roman" w:hAnsi="Times New Roman" w:eastAsia="宋体"/>
          <w:b/>
          <w:sz w:val="24"/>
        </w:rPr>
        <w:t>电化学测试。</w:t>
      </w:r>
      <w:r>
        <w:rPr>
          <w:rFonts w:ascii="Times New Roman" w:hAnsi="Times New Roman" w:eastAsia="宋体"/>
          <w:b w:val="0"/>
          <w:sz w:val="24"/>
        </w:rPr>
        <w:t xml:space="preserve"> 三电极参数逐项移植（酸性体系替换电解质与参比）：O₂ 饱和电解液、5 mV s⁻¹、iR 补偿、碳纸 0.5×0.5 cm、载量 0.36 mg cm⁻²、催化剂:碳黑=2:1、5 wt% Nafion 50 µL、外覆 0.05 wt% Nafion 7.5 µL（R0, p.8）；EIS 固定电位测（本文 1.57 V vs RHE，建议本课题固定 1.50 V vs RHE 便于横向比较）、ZView 拟合 Rs/R_ct/C_dl（R0, p.8）；ECSA 用非法拉第区双电层电容，并给出 ECSA 归一化比活性（R0, p.8）。</w:t>
      </w:r>
    </w:p>
    <w:p>
      <w:pPr>
        <w:spacing w:line="360" w:lineRule="auto"/>
        <w:ind w:firstLine="420"/>
      </w:pPr>
      <w:r>
        <w:rPr>
          <w:rFonts w:ascii="Times New Roman" w:hAnsi="Times New Roman" w:eastAsia="宋体"/>
          <w:b/>
          <w:sz w:val="24"/>
        </w:rPr>
        <w:t>器件级验证。</w:t>
      </w:r>
      <w:r>
        <w:rPr>
          <w:rFonts w:ascii="Times New Roman" w:hAnsi="Times New Roman" w:eastAsia="宋体"/>
          <w:b w:val="0"/>
          <w:sz w:val="24"/>
        </w:rPr>
        <w:t xml:space="preserve"> 酸性对应方案（R2）：Nafion 膜 + 本课题阳极（Ru–MnO₂）+ Pt/C 阴极，喷涂/热压成 MEA，有效面积 5 cm²，60 °C；沿用本文的三电阻分解（OR/CTR/MTR）与变电流 operando EIS（RMS 交流为直流 10%）（R0, p.5、p.8）。</w:t>
      </w:r>
    </w:p>
    <w:p>
      <w:pPr>
        <w:spacing w:line="360" w:lineRule="auto"/>
        <w:ind w:firstLine="420"/>
      </w:pPr>
      <w:r>
        <w:rPr>
          <w:rFonts w:ascii="Times New Roman" w:hAnsi="Times New Roman" w:eastAsia="宋体"/>
          <w:b/>
          <w:sz w:val="24"/>
        </w:rPr>
        <w:t>稳定性评价。</w:t>
      </w:r>
      <w:r>
        <w:rPr>
          <w:rFonts w:ascii="Times New Roman" w:hAnsi="Times New Roman" w:eastAsia="宋体"/>
          <w:b w:val="0"/>
          <w:sz w:val="24"/>
        </w:rPr>
        <w:t xml:space="preserve"> 双轨制：半电池恒压 50 h（本文 1.56 V）（R0, p.4）+ 器件恒流 120 h @0.5 A cm⁻²（R0, p.4–5），统一用 </w:t>
      </w:r>
      <w:r>
        <w:rPr>
          <w:rFonts w:ascii="Times New Roman" w:hAnsi="Times New Roman" w:eastAsia="宋体"/>
          <w:b/>
          <w:sz w:val="24"/>
        </w:rPr>
        <w:t>mV h⁻¹ 衰减率</w:t>
      </w:r>
      <w:r>
        <w:rPr>
          <w:rFonts w:ascii="Times New Roman" w:hAnsi="Times New Roman" w:eastAsia="宋体"/>
          <w:b w:val="0"/>
          <w:sz w:val="24"/>
        </w:rPr>
        <w:t>与电流保持率两个指标（R0, p.1）；反应后做 XRD/TEM/XPS/EDS 与</w:t>
      </w:r>
      <w:r>
        <w:rPr>
          <w:rFonts w:ascii="Times New Roman" w:hAnsi="Times New Roman" w:eastAsia="宋体"/>
          <w:b/>
          <w:sz w:val="24"/>
        </w:rPr>
        <w:t>电解液 ICP-MS 定量 Ru、Mn 溶出</w:t>
      </w:r>
      <w:r>
        <w:rPr>
          <w:rFonts w:ascii="Times New Roman" w:hAnsi="Times New Roman" w:eastAsia="宋体"/>
          <w:b w:val="0"/>
          <w:sz w:val="24"/>
        </w:rPr>
        <w:t>——本文缺失、本课题必须补齐的关键数据（R2）。</w:t>
      </w:r>
    </w:p>
    <w:p/>
    <w:p>
      <w:r>
        <w:br w:type="page"/>
      </w:r>
    </w:p>
    <w:p>
      <w:pPr>
        <w:pStyle w:val="2"/>
        <w:pageBreakBefore w:val="0"/>
      </w:pPr>
      <w:r>
        <w:rPr>
          <w:rFonts w:ascii="Times New Roman" w:hAnsi="Times New Roman" w:eastAsia="宋体"/>
          <w:b/>
          <w:sz w:val="44"/>
        </w:rPr>
        <w:t>6. 延伸思考</w:t>
      </w:r>
    </w:p>
    <w:p>
      <w:pPr>
        <w:spacing w:line="360" w:lineRule="auto"/>
        <w:ind w:firstLine="420"/>
      </w:pPr>
      <w:r>
        <w:rPr>
          <w:rFonts w:ascii="Times New Roman" w:hAnsi="Times New Roman" w:eastAsia="宋体"/>
          <w:b w:val="0"/>
          <w:sz w:val="24"/>
        </w:rPr>
        <w:t>第一，"高价掺杂剂拉低活性金属价态"与"Ru 因高价态溶解"构成可检验的耦合假设：若 Mn 经 Ru–O–Mn 向 Ru 供电子、抑制其达到易溶高价态，则应有电子结构证据（Ru K 边边位下移、Ru–O 键长/配位数变化），而非仅凭寿命曲线归因（R2）。第二，本文非晶催化剂在反应中</w:t>
      </w:r>
      <w:r>
        <w:rPr>
          <w:rFonts w:ascii="Times New Roman" w:hAnsi="Times New Roman" w:eastAsia="宋体"/>
          <w:b/>
          <w:sz w:val="24"/>
        </w:rPr>
        <w:t>部分晶化并生成纳米孔</w:t>
      </w:r>
      <w:r>
        <w:rPr>
          <w:rFonts w:ascii="Times New Roman" w:hAnsi="Times New Roman" w:eastAsia="宋体"/>
          <w:b w:val="0"/>
          <w:sz w:val="24"/>
        </w:rPr>
        <w:t>（R0, p.5），可见"非晶＝稳定"并非普适结论；电沉积 MnO₂ 多为层状/水合结构，其结晶水与层间阳离子可能是质子/氧交换通道，也可能是溶解起点，值得用原位 XRD/拉曼跟踪（R1/R2）。第三，本文工具链机时门槛高，建议先做可及版本（非原位 XPS/XRD/TEM + 三电极长时 + 反应后 ICP-MS），同步辐射部分申请外部机时（R2）。第四，面向 9.24 组会，本文适合承担"器件级验证与稳定性评价方法论"一页，其"半电池—器件—三电阻分解—衰减率"四段式可作性能展示骨架（R2）。</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报告完 · 证据优先（R0/R1/R2 分级）</w:t>
      </w:r>
    </w:p>
    <w:sectPr>
      <w:headerReference r:id="rId5" w:type="default"/>
      <w:footerReference r:id="rId6" w:type="default"/>
      <w:pgSz w:w="11906" w:h="16838"/>
      <w:pgMar w:top="1440" w:right="1644" w:bottom="1440" w:left="1797" w:header="851" w:footer="851"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top w:val="single" w:color="auto" w:sz="4" w:space="1"/>
      </w:pBdr>
      <w:jc w:val="right"/>
    </w:pPr>
    <w:sdt>
      <w:sdtPr>
        <w:id w:val="-1"/>
      </w:sdtPr>
      <w:sdtContent>
        <w:r>
          <w:fldChar w:fldCharType="begin"/>
        </w:r>
        <w:r>
          <w:instrText xml:space="preserve">PAGE   \* MERGEFORMAT</w:instrText>
        </w:r>
        <w:r>
          <w:fldChar w:fldCharType="separate"/>
        </w:r>
        <w:r>
          <w:rPr>
            <w:lang w:val="zh-CN"/>
          </w:rPr>
          <w:t>5</w:t>
        </w:r>
        <w: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none" w:color="auto" w:sz="0" w:space="0"/>
      </w:pBdr>
      <w:tabs>
        <w:tab w:val="left" w:pos="260"/>
      </w:tabs>
      <w:jc w:val="left"/>
      <w:rPr>
        <w:rFonts w:hint="eastAsia" w:eastAsia="宋体"/>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336078"/>
    <w:multiLevelType w:val="multilevel"/>
    <w:tmpl w:val="0E336078"/>
    <w:lvl w:ilvl="0" w:tentative="0">
      <w:start w:val="1"/>
      <w:numFmt w:val="bullet"/>
      <w:pStyle w:val="43"/>
      <w:lvlText w:val=""/>
      <w:lvlJc w:val="left"/>
      <w:pPr>
        <w:ind w:left="1200" w:hanging="420"/>
      </w:pPr>
      <w:rPr>
        <w:rFonts w:hint="default" w:ascii="Wingdings" w:hAnsi="Wingdings"/>
      </w:rPr>
    </w:lvl>
    <w:lvl w:ilvl="1" w:tentative="0">
      <w:start w:val="1"/>
      <w:numFmt w:val="bullet"/>
      <w:lvlText w:val=""/>
      <w:lvlJc w:val="left"/>
      <w:pPr>
        <w:tabs>
          <w:tab w:val="left" w:pos="1620"/>
        </w:tabs>
        <w:ind w:left="1620" w:hanging="420"/>
      </w:pPr>
      <w:rPr>
        <w:rFonts w:hint="default" w:ascii="Wingdings" w:hAnsi="Wingdings"/>
      </w:rPr>
    </w:lvl>
    <w:lvl w:ilvl="2" w:tentative="0">
      <w:start w:val="1"/>
      <w:numFmt w:val="bullet"/>
      <w:lvlText w:val=""/>
      <w:lvlJc w:val="left"/>
      <w:pPr>
        <w:tabs>
          <w:tab w:val="left" w:pos="2040"/>
        </w:tabs>
        <w:ind w:left="2040" w:hanging="420"/>
      </w:pPr>
      <w:rPr>
        <w:rFonts w:hint="default" w:ascii="Wingdings" w:hAnsi="Wingdings"/>
      </w:rPr>
    </w:lvl>
    <w:lvl w:ilvl="3" w:tentative="0">
      <w:start w:val="1"/>
      <w:numFmt w:val="bullet"/>
      <w:lvlText w:val=""/>
      <w:lvlJc w:val="left"/>
      <w:pPr>
        <w:tabs>
          <w:tab w:val="left" w:pos="2460"/>
        </w:tabs>
        <w:ind w:left="2460" w:hanging="420"/>
      </w:pPr>
      <w:rPr>
        <w:rFonts w:hint="default" w:ascii="Wingdings" w:hAnsi="Wingdings"/>
      </w:rPr>
    </w:lvl>
    <w:lvl w:ilvl="4" w:tentative="0">
      <w:start w:val="1"/>
      <w:numFmt w:val="bullet"/>
      <w:lvlText w:val=""/>
      <w:lvlJc w:val="left"/>
      <w:pPr>
        <w:tabs>
          <w:tab w:val="left" w:pos="2880"/>
        </w:tabs>
        <w:ind w:left="2880" w:hanging="420"/>
      </w:pPr>
      <w:rPr>
        <w:rFonts w:hint="default" w:ascii="Wingdings" w:hAnsi="Wingdings"/>
      </w:rPr>
    </w:lvl>
    <w:lvl w:ilvl="5" w:tentative="0">
      <w:start w:val="1"/>
      <w:numFmt w:val="bullet"/>
      <w:lvlText w:val=""/>
      <w:lvlJc w:val="left"/>
      <w:pPr>
        <w:tabs>
          <w:tab w:val="left" w:pos="3300"/>
        </w:tabs>
        <w:ind w:left="3300" w:hanging="420"/>
      </w:pPr>
      <w:rPr>
        <w:rFonts w:hint="default" w:ascii="Wingdings" w:hAnsi="Wingdings"/>
      </w:rPr>
    </w:lvl>
    <w:lvl w:ilvl="6" w:tentative="0">
      <w:start w:val="1"/>
      <w:numFmt w:val="bullet"/>
      <w:lvlText w:val=""/>
      <w:lvlJc w:val="left"/>
      <w:pPr>
        <w:tabs>
          <w:tab w:val="left" w:pos="3720"/>
        </w:tabs>
        <w:ind w:left="3720" w:hanging="420"/>
      </w:pPr>
      <w:rPr>
        <w:rFonts w:hint="default" w:ascii="Wingdings" w:hAnsi="Wingdings"/>
      </w:rPr>
    </w:lvl>
    <w:lvl w:ilvl="7" w:tentative="0">
      <w:start w:val="1"/>
      <w:numFmt w:val="bullet"/>
      <w:lvlText w:val=""/>
      <w:lvlJc w:val="left"/>
      <w:pPr>
        <w:tabs>
          <w:tab w:val="left" w:pos="4140"/>
        </w:tabs>
        <w:ind w:left="4140" w:hanging="420"/>
      </w:pPr>
      <w:rPr>
        <w:rFonts w:hint="default" w:ascii="Wingdings" w:hAnsi="Wingdings"/>
      </w:rPr>
    </w:lvl>
    <w:lvl w:ilvl="8" w:tentative="0">
      <w:start w:val="1"/>
      <w:numFmt w:val="bullet"/>
      <w:lvlText w:val=""/>
      <w:lvlJc w:val="left"/>
      <w:pPr>
        <w:tabs>
          <w:tab w:val="left" w:pos="4560"/>
        </w:tabs>
        <w:ind w:left="4560" w:hanging="420"/>
      </w:pPr>
      <w:rPr>
        <w:rFonts w:hint="default" w:ascii="Wingdings" w:hAnsi="Wingdings"/>
      </w:rPr>
    </w:lvl>
  </w:abstractNum>
  <w:abstractNum w:abstractNumId="1">
    <w:nsid w:val="18262C5A"/>
    <w:multiLevelType w:val="multilevel"/>
    <w:tmpl w:val="18262C5A"/>
    <w:lvl w:ilvl="0" w:tentative="0">
      <w:start w:val="1"/>
      <w:numFmt w:val="decimal"/>
      <w:pStyle w:val="57"/>
      <w:lvlText w:val="步骤%1."/>
      <w:lvlJc w:val="left"/>
      <w:pPr>
        <w:tabs>
          <w:tab w:val="left" w:pos="1276"/>
        </w:tabs>
        <w:ind w:left="1276" w:hanging="879"/>
      </w:pPr>
      <w:rPr>
        <w:rFonts w:hint="default" w:ascii="Times New Roman" w:hAnsi="Times New Roman" w:eastAsia="宋体"/>
        <w:b w:val="0"/>
        <w:bCs w:val="0"/>
        <w:i w:val="0"/>
        <w:iCs w:val="0"/>
        <w:caps w:val="0"/>
        <w:smallCaps w:val="0"/>
        <w:strike w:val="0"/>
        <w:dstrike w:val="0"/>
        <w:outline w:val="0"/>
        <w:shadow w:val="0"/>
        <w:emboss w:val="0"/>
        <w:imprint w:val="0"/>
        <w:snapToGrid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lowerLetter"/>
      <w:lvlText w:val="%2)"/>
      <w:lvlJc w:val="left"/>
      <w:pPr>
        <w:tabs>
          <w:tab w:val="left" w:pos="1469"/>
        </w:tabs>
        <w:ind w:left="1469" w:hanging="420"/>
      </w:pPr>
      <w:rPr>
        <w:rFonts w:hint="eastAsia"/>
      </w:rPr>
    </w:lvl>
    <w:lvl w:ilvl="2" w:tentative="0">
      <w:start w:val="1"/>
      <w:numFmt w:val="lowerRoman"/>
      <w:lvlText w:val="%3."/>
      <w:lvlJc w:val="right"/>
      <w:pPr>
        <w:tabs>
          <w:tab w:val="left" w:pos="1889"/>
        </w:tabs>
        <w:ind w:left="1889" w:hanging="420"/>
      </w:pPr>
      <w:rPr>
        <w:rFonts w:hint="eastAsia"/>
      </w:rPr>
    </w:lvl>
    <w:lvl w:ilvl="3" w:tentative="0">
      <w:start w:val="1"/>
      <w:numFmt w:val="decimal"/>
      <w:lvlText w:val="%4."/>
      <w:lvlJc w:val="left"/>
      <w:pPr>
        <w:tabs>
          <w:tab w:val="left" w:pos="2309"/>
        </w:tabs>
        <w:ind w:left="2309" w:hanging="420"/>
      </w:pPr>
      <w:rPr>
        <w:rFonts w:hint="eastAsia"/>
      </w:rPr>
    </w:lvl>
    <w:lvl w:ilvl="4" w:tentative="0">
      <w:start w:val="1"/>
      <w:numFmt w:val="lowerLetter"/>
      <w:lvlText w:val="%5)"/>
      <w:lvlJc w:val="left"/>
      <w:pPr>
        <w:tabs>
          <w:tab w:val="left" w:pos="2729"/>
        </w:tabs>
        <w:ind w:left="2729" w:hanging="420"/>
      </w:pPr>
      <w:rPr>
        <w:rFonts w:hint="eastAsia"/>
      </w:rPr>
    </w:lvl>
    <w:lvl w:ilvl="5" w:tentative="0">
      <w:start w:val="1"/>
      <w:numFmt w:val="lowerRoman"/>
      <w:lvlText w:val="%6."/>
      <w:lvlJc w:val="right"/>
      <w:pPr>
        <w:tabs>
          <w:tab w:val="left" w:pos="3149"/>
        </w:tabs>
        <w:ind w:left="3149" w:hanging="420"/>
      </w:pPr>
      <w:rPr>
        <w:rFonts w:hint="eastAsia"/>
      </w:rPr>
    </w:lvl>
    <w:lvl w:ilvl="6" w:tentative="0">
      <w:start w:val="1"/>
      <w:numFmt w:val="decimal"/>
      <w:lvlText w:val="%7."/>
      <w:lvlJc w:val="left"/>
      <w:pPr>
        <w:tabs>
          <w:tab w:val="left" w:pos="3569"/>
        </w:tabs>
        <w:ind w:left="3569" w:hanging="420"/>
      </w:pPr>
      <w:rPr>
        <w:rFonts w:hint="eastAsia"/>
      </w:rPr>
    </w:lvl>
    <w:lvl w:ilvl="7" w:tentative="0">
      <w:start w:val="1"/>
      <w:numFmt w:val="lowerLetter"/>
      <w:lvlText w:val="%8)"/>
      <w:lvlJc w:val="left"/>
      <w:pPr>
        <w:tabs>
          <w:tab w:val="left" w:pos="3989"/>
        </w:tabs>
        <w:ind w:left="3989" w:hanging="420"/>
      </w:pPr>
      <w:rPr>
        <w:rFonts w:hint="eastAsia"/>
      </w:rPr>
    </w:lvl>
    <w:lvl w:ilvl="8" w:tentative="0">
      <w:start w:val="1"/>
      <w:numFmt w:val="lowerRoman"/>
      <w:lvlText w:val="%9."/>
      <w:lvlJc w:val="right"/>
      <w:pPr>
        <w:tabs>
          <w:tab w:val="left" w:pos="4409"/>
        </w:tabs>
        <w:ind w:left="4409" w:hanging="420"/>
      </w:pPr>
      <w:rPr>
        <w:rFonts w:hint="eastAsia"/>
      </w:rPr>
    </w:lvl>
  </w:abstractNum>
  <w:abstractNum w:abstractNumId="2">
    <w:nsid w:val="3F9E4C1A"/>
    <w:multiLevelType w:val="multilevel"/>
    <w:tmpl w:val="3F9E4C1A"/>
    <w:lvl w:ilvl="0" w:tentative="0">
      <w:start w:val="1"/>
      <w:numFmt w:val="bullet"/>
      <w:pStyle w:val="47"/>
      <w:lvlText w:val=""/>
      <w:lvlJc w:val="left"/>
      <w:pPr>
        <w:tabs>
          <w:tab w:val="left" w:pos="1200"/>
        </w:tabs>
        <w:ind w:left="1200" w:hanging="420"/>
      </w:pPr>
      <w:rPr>
        <w:rFonts w:hint="default" w:ascii="Wingdings" w:hAnsi="Wingdings"/>
      </w:rPr>
    </w:lvl>
    <w:lvl w:ilvl="1" w:tentative="0">
      <w:start w:val="1"/>
      <w:numFmt w:val="bullet"/>
      <w:lvlText w:val=""/>
      <w:lvlJc w:val="left"/>
      <w:pPr>
        <w:tabs>
          <w:tab w:val="left" w:pos="1620"/>
        </w:tabs>
        <w:ind w:left="1620" w:hanging="420"/>
      </w:pPr>
      <w:rPr>
        <w:rFonts w:hint="default" w:ascii="Wingdings" w:hAnsi="Wingdings"/>
      </w:rPr>
    </w:lvl>
    <w:lvl w:ilvl="2" w:tentative="0">
      <w:start w:val="1"/>
      <w:numFmt w:val="bullet"/>
      <w:lvlText w:val=""/>
      <w:lvlJc w:val="left"/>
      <w:pPr>
        <w:tabs>
          <w:tab w:val="left" w:pos="2040"/>
        </w:tabs>
        <w:ind w:left="2040" w:hanging="420"/>
      </w:pPr>
      <w:rPr>
        <w:rFonts w:hint="default" w:ascii="Wingdings" w:hAnsi="Wingdings"/>
      </w:rPr>
    </w:lvl>
    <w:lvl w:ilvl="3" w:tentative="0">
      <w:start w:val="1"/>
      <w:numFmt w:val="bullet"/>
      <w:lvlText w:val=""/>
      <w:lvlJc w:val="left"/>
      <w:pPr>
        <w:tabs>
          <w:tab w:val="left" w:pos="2460"/>
        </w:tabs>
        <w:ind w:left="2460" w:hanging="420"/>
      </w:pPr>
      <w:rPr>
        <w:rFonts w:hint="default" w:ascii="Wingdings" w:hAnsi="Wingdings"/>
      </w:rPr>
    </w:lvl>
    <w:lvl w:ilvl="4" w:tentative="0">
      <w:start w:val="1"/>
      <w:numFmt w:val="bullet"/>
      <w:lvlText w:val=""/>
      <w:lvlJc w:val="left"/>
      <w:pPr>
        <w:tabs>
          <w:tab w:val="left" w:pos="2880"/>
        </w:tabs>
        <w:ind w:left="2880" w:hanging="420"/>
      </w:pPr>
      <w:rPr>
        <w:rFonts w:hint="default" w:ascii="Wingdings" w:hAnsi="Wingdings"/>
      </w:rPr>
    </w:lvl>
    <w:lvl w:ilvl="5" w:tentative="0">
      <w:start w:val="1"/>
      <w:numFmt w:val="bullet"/>
      <w:lvlText w:val=""/>
      <w:lvlJc w:val="left"/>
      <w:pPr>
        <w:tabs>
          <w:tab w:val="left" w:pos="3300"/>
        </w:tabs>
        <w:ind w:left="3300" w:hanging="420"/>
      </w:pPr>
      <w:rPr>
        <w:rFonts w:hint="default" w:ascii="Wingdings" w:hAnsi="Wingdings"/>
      </w:rPr>
    </w:lvl>
    <w:lvl w:ilvl="6" w:tentative="0">
      <w:start w:val="1"/>
      <w:numFmt w:val="bullet"/>
      <w:lvlText w:val=""/>
      <w:lvlJc w:val="left"/>
      <w:pPr>
        <w:tabs>
          <w:tab w:val="left" w:pos="3720"/>
        </w:tabs>
        <w:ind w:left="3720" w:hanging="420"/>
      </w:pPr>
      <w:rPr>
        <w:rFonts w:hint="default" w:ascii="Wingdings" w:hAnsi="Wingdings"/>
      </w:rPr>
    </w:lvl>
    <w:lvl w:ilvl="7" w:tentative="0">
      <w:start w:val="1"/>
      <w:numFmt w:val="bullet"/>
      <w:lvlText w:val=""/>
      <w:lvlJc w:val="left"/>
      <w:pPr>
        <w:tabs>
          <w:tab w:val="left" w:pos="4140"/>
        </w:tabs>
        <w:ind w:left="4140" w:hanging="420"/>
      </w:pPr>
      <w:rPr>
        <w:rFonts w:hint="default" w:ascii="Wingdings" w:hAnsi="Wingdings"/>
      </w:rPr>
    </w:lvl>
    <w:lvl w:ilvl="8" w:tentative="0">
      <w:start w:val="1"/>
      <w:numFmt w:val="bullet"/>
      <w:lvlText w:val=""/>
      <w:lvlJc w:val="left"/>
      <w:pPr>
        <w:tabs>
          <w:tab w:val="left" w:pos="4560"/>
        </w:tabs>
        <w:ind w:left="4560" w:hanging="420"/>
      </w:pPr>
      <w:rPr>
        <w:rFonts w:hint="default" w:ascii="Wingdings" w:hAnsi="Wingdings"/>
      </w:rPr>
    </w:lvl>
  </w:abstractNum>
  <w:abstractNum w:abstractNumId="3">
    <w:nsid w:val="561E0D03"/>
    <w:multiLevelType w:val="multilevel"/>
    <w:tmpl w:val="561E0D03"/>
    <w:lvl w:ilvl="0" w:tentative="0">
      <w:start w:val="1"/>
      <w:numFmt w:val="bullet"/>
      <w:pStyle w:val="60"/>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
    <w:nsid w:val="57E06AFF"/>
    <w:multiLevelType w:val="multilevel"/>
    <w:tmpl w:val="57E06AFF"/>
    <w:lvl w:ilvl="0" w:tentative="0">
      <w:start w:val="1"/>
      <w:numFmt w:val="decimal"/>
      <w:pStyle w:val="2"/>
      <w:lvlText w:val="%1."/>
      <w:lvlJc w:val="left"/>
      <w:pPr>
        <w:ind w:left="420" w:hanging="420"/>
      </w:pPr>
      <w:rPr>
        <w:rFonts w:hint="default" w:ascii="Times New Roman" w:hAnsi="Times New Roman" w:eastAsia="宋体"/>
        <w:b/>
        <w:i w:val="0"/>
        <w:sz w:val="44"/>
      </w:rPr>
    </w:lvl>
    <w:lvl w:ilvl="1" w:tentative="0">
      <w:start w:val="1"/>
      <w:numFmt w:val="decimal"/>
      <w:pStyle w:val="4"/>
      <w:lvlText w:val="%1.%2."/>
      <w:lvlJc w:val="left"/>
      <w:pPr>
        <w:ind w:left="567" w:hanging="567"/>
      </w:pPr>
      <w:rPr>
        <w:rFonts w:hint="default" w:ascii="Times New Roman" w:hAnsi="Times New Roman" w:eastAsia="宋体"/>
        <w:b/>
        <w:i w:val="0"/>
        <w:sz w:val="32"/>
      </w:rPr>
    </w:lvl>
    <w:lvl w:ilvl="2" w:tentative="0">
      <w:start w:val="1"/>
      <w:numFmt w:val="decimal"/>
      <w:pStyle w:val="5"/>
      <w:lvlText w:val="%1.%2.%3."/>
      <w:lvlJc w:val="left"/>
      <w:pPr>
        <w:ind w:left="709" w:hanging="709"/>
      </w:pPr>
      <w:rPr>
        <w:rFonts w:hint="default" w:ascii="Times New Roman" w:hAnsi="Times New Roman" w:eastAsia="宋体"/>
        <w:b/>
        <w:i w:val="0"/>
        <w:sz w:val="30"/>
      </w:rPr>
    </w:lvl>
    <w:lvl w:ilvl="3" w:tentative="0">
      <w:start w:val="1"/>
      <w:numFmt w:val="decimal"/>
      <w:pStyle w:val="6"/>
      <w:lvlText w:val="%1.%2.%3.%4."/>
      <w:lvlJc w:val="left"/>
      <w:pPr>
        <w:ind w:left="851" w:hanging="851"/>
      </w:pPr>
      <w:rPr>
        <w:rFonts w:hint="default" w:ascii="Times New Roman" w:hAnsi="Times New Roman" w:eastAsia="宋体"/>
        <w:b/>
        <w:i w:val="0"/>
        <w:sz w:val="28"/>
      </w:rPr>
    </w:lvl>
    <w:lvl w:ilvl="4" w:tentative="0">
      <w:start w:val="1"/>
      <w:numFmt w:val="decimal"/>
      <w:pStyle w:val="7"/>
      <w:lvlText w:val="%1.%2.%3.%4.%5."/>
      <w:lvlJc w:val="left"/>
      <w:pPr>
        <w:ind w:left="992" w:hanging="992"/>
      </w:pPr>
      <w:rPr>
        <w:rFonts w:hint="eastAsia"/>
      </w:rPr>
    </w:lvl>
    <w:lvl w:ilvl="5" w:tentative="0">
      <w:start w:val="1"/>
      <w:numFmt w:val="decimal"/>
      <w:pStyle w:val="8"/>
      <w:lvlText w:val="%1.%2.%3.%4.%5.%6."/>
      <w:lvlJc w:val="left"/>
      <w:pPr>
        <w:ind w:left="1134" w:hanging="1134"/>
      </w:pPr>
      <w:rPr>
        <w:rFonts w:hint="eastAsia"/>
      </w:rPr>
    </w:lvl>
    <w:lvl w:ilvl="6" w:tentative="0">
      <w:start w:val="1"/>
      <w:numFmt w:val="decimal"/>
      <w:pStyle w:val="9"/>
      <w:lvlText w:val="%1.%2.%3.%4.%5.%6.%7."/>
      <w:lvlJc w:val="left"/>
      <w:pPr>
        <w:ind w:left="1276" w:hanging="1276"/>
      </w:pPr>
      <w:rPr>
        <w:rFonts w:hint="eastAsia"/>
      </w:rPr>
    </w:lvl>
    <w:lvl w:ilvl="7" w:tentative="0">
      <w:start w:val="1"/>
      <w:numFmt w:val="decimal"/>
      <w:pStyle w:val="10"/>
      <w:lvlText w:val="%1.%2.%3.%4.%5.%6.%7.%8."/>
      <w:lvlJc w:val="left"/>
      <w:pPr>
        <w:ind w:left="1418" w:hanging="1418"/>
      </w:pPr>
      <w:rPr>
        <w:rFonts w:hint="eastAsia"/>
      </w:rPr>
    </w:lvl>
    <w:lvl w:ilvl="8" w:tentative="0">
      <w:start w:val="1"/>
      <w:numFmt w:val="decimal"/>
      <w:pStyle w:val="11"/>
      <w:lvlText w:val="%1.%2.%3.%4.%5.%6.%7.%8.%9."/>
      <w:lvlJc w:val="left"/>
      <w:pPr>
        <w:ind w:left="1559" w:hanging="1559"/>
      </w:pPr>
      <w:rPr>
        <w:rFonts w:hint="eastAsia"/>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gzN2I2M2FjNzAxNWM4MDAyYjdlZjZmOWZmMmM2NWMifQ=="/>
  </w:docVars>
  <w:rsids>
    <w:rsidRoot w:val="00E1465D"/>
    <w:rsid w:val="00001098"/>
    <w:rsid w:val="00001EA7"/>
    <w:rsid w:val="00007345"/>
    <w:rsid w:val="00027164"/>
    <w:rsid w:val="000271E1"/>
    <w:rsid w:val="000741A7"/>
    <w:rsid w:val="00075B09"/>
    <w:rsid w:val="00080170"/>
    <w:rsid w:val="00085016"/>
    <w:rsid w:val="00086E86"/>
    <w:rsid w:val="00092073"/>
    <w:rsid w:val="000937CB"/>
    <w:rsid w:val="000B2F55"/>
    <w:rsid w:val="000B4D0B"/>
    <w:rsid w:val="000B6B0E"/>
    <w:rsid w:val="000B6D43"/>
    <w:rsid w:val="000C2498"/>
    <w:rsid w:val="000D2BA8"/>
    <w:rsid w:val="000E39BC"/>
    <w:rsid w:val="000E45B6"/>
    <w:rsid w:val="000F2DD4"/>
    <w:rsid w:val="00112239"/>
    <w:rsid w:val="00114537"/>
    <w:rsid w:val="001152B7"/>
    <w:rsid w:val="00120248"/>
    <w:rsid w:val="001220F5"/>
    <w:rsid w:val="00122B6C"/>
    <w:rsid w:val="00156CEC"/>
    <w:rsid w:val="00162F88"/>
    <w:rsid w:val="001758CF"/>
    <w:rsid w:val="00182BDF"/>
    <w:rsid w:val="001976A1"/>
    <w:rsid w:val="001A60A8"/>
    <w:rsid w:val="001A7855"/>
    <w:rsid w:val="001B4F9F"/>
    <w:rsid w:val="001C5E9B"/>
    <w:rsid w:val="001C75D1"/>
    <w:rsid w:val="001D185D"/>
    <w:rsid w:val="001D5A30"/>
    <w:rsid w:val="001E1371"/>
    <w:rsid w:val="00202256"/>
    <w:rsid w:val="002170AF"/>
    <w:rsid w:val="00217AE3"/>
    <w:rsid w:val="0022051F"/>
    <w:rsid w:val="002219ED"/>
    <w:rsid w:val="00221A6C"/>
    <w:rsid w:val="0022700A"/>
    <w:rsid w:val="00241414"/>
    <w:rsid w:val="0025741B"/>
    <w:rsid w:val="002651E1"/>
    <w:rsid w:val="00283839"/>
    <w:rsid w:val="002908A8"/>
    <w:rsid w:val="002955C9"/>
    <w:rsid w:val="002A0CEE"/>
    <w:rsid w:val="002A7851"/>
    <w:rsid w:val="002B1F3E"/>
    <w:rsid w:val="002C3BEB"/>
    <w:rsid w:val="002D102E"/>
    <w:rsid w:val="002D1179"/>
    <w:rsid w:val="002D1191"/>
    <w:rsid w:val="002D1840"/>
    <w:rsid w:val="002D3528"/>
    <w:rsid w:val="002E23A3"/>
    <w:rsid w:val="002E3E40"/>
    <w:rsid w:val="002F11F0"/>
    <w:rsid w:val="002F7AFA"/>
    <w:rsid w:val="00301A5C"/>
    <w:rsid w:val="0031781C"/>
    <w:rsid w:val="003245E7"/>
    <w:rsid w:val="00326E1C"/>
    <w:rsid w:val="00341280"/>
    <w:rsid w:val="00343FFA"/>
    <w:rsid w:val="00354BF6"/>
    <w:rsid w:val="0037087D"/>
    <w:rsid w:val="0037111D"/>
    <w:rsid w:val="003724B0"/>
    <w:rsid w:val="00375793"/>
    <w:rsid w:val="00375ECD"/>
    <w:rsid w:val="00391BFA"/>
    <w:rsid w:val="00393CFB"/>
    <w:rsid w:val="003A3882"/>
    <w:rsid w:val="003C39F9"/>
    <w:rsid w:val="003C5C0F"/>
    <w:rsid w:val="003D02F0"/>
    <w:rsid w:val="003D1D37"/>
    <w:rsid w:val="003D3FB6"/>
    <w:rsid w:val="003D5CDB"/>
    <w:rsid w:val="003E0D83"/>
    <w:rsid w:val="003E0FBC"/>
    <w:rsid w:val="003E4B7B"/>
    <w:rsid w:val="003F57EA"/>
    <w:rsid w:val="00404500"/>
    <w:rsid w:val="0041574D"/>
    <w:rsid w:val="00420C65"/>
    <w:rsid w:val="004429DD"/>
    <w:rsid w:val="004543CF"/>
    <w:rsid w:val="00456090"/>
    <w:rsid w:val="00473C78"/>
    <w:rsid w:val="00487673"/>
    <w:rsid w:val="004904EB"/>
    <w:rsid w:val="004A4EE5"/>
    <w:rsid w:val="004A7608"/>
    <w:rsid w:val="004B1095"/>
    <w:rsid w:val="004B23E7"/>
    <w:rsid w:val="004B3BC0"/>
    <w:rsid w:val="004C6155"/>
    <w:rsid w:val="004D3EC4"/>
    <w:rsid w:val="004F7417"/>
    <w:rsid w:val="00506386"/>
    <w:rsid w:val="00517490"/>
    <w:rsid w:val="00517FD6"/>
    <w:rsid w:val="005213FD"/>
    <w:rsid w:val="00527614"/>
    <w:rsid w:val="00542087"/>
    <w:rsid w:val="00560242"/>
    <w:rsid w:val="005672AC"/>
    <w:rsid w:val="00580AF6"/>
    <w:rsid w:val="00582CDD"/>
    <w:rsid w:val="005A4AF0"/>
    <w:rsid w:val="005B0F85"/>
    <w:rsid w:val="005C41B4"/>
    <w:rsid w:val="005C4734"/>
    <w:rsid w:val="005F26FE"/>
    <w:rsid w:val="005F41E0"/>
    <w:rsid w:val="00602A90"/>
    <w:rsid w:val="0060593F"/>
    <w:rsid w:val="0060646F"/>
    <w:rsid w:val="00610A08"/>
    <w:rsid w:val="00626386"/>
    <w:rsid w:val="00633A41"/>
    <w:rsid w:val="006340E9"/>
    <w:rsid w:val="00652A76"/>
    <w:rsid w:val="00653C9F"/>
    <w:rsid w:val="006554DD"/>
    <w:rsid w:val="00657BBB"/>
    <w:rsid w:val="0067535A"/>
    <w:rsid w:val="0069195F"/>
    <w:rsid w:val="00692BAB"/>
    <w:rsid w:val="006A031C"/>
    <w:rsid w:val="006A1739"/>
    <w:rsid w:val="006A38A3"/>
    <w:rsid w:val="006B63C7"/>
    <w:rsid w:val="006C4566"/>
    <w:rsid w:val="006D2481"/>
    <w:rsid w:val="006F5071"/>
    <w:rsid w:val="006F67A8"/>
    <w:rsid w:val="00701354"/>
    <w:rsid w:val="00701EDD"/>
    <w:rsid w:val="007023F9"/>
    <w:rsid w:val="007050F9"/>
    <w:rsid w:val="00707AE6"/>
    <w:rsid w:val="007129A7"/>
    <w:rsid w:val="00726465"/>
    <w:rsid w:val="00727823"/>
    <w:rsid w:val="0074380A"/>
    <w:rsid w:val="007505E8"/>
    <w:rsid w:val="0076290B"/>
    <w:rsid w:val="00764A60"/>
    <w:rsid w:val="00774F42"/>
    <w:rsid w:val="0077543F"/>
    <w:rsid w:val="00782439"/>
    <w:rsid w:val="00783765"/>
    <w:rsid w:val="00785248"/>
    <w:rsid w:val="007D69A8"/>
    <w:rsid w:val="007E134C"/>
    <w:rsid w:val="007E2CB0"/>
    <w:rsid w:val="0080796D"/>
    <w:rsid w:val="0081087B"/>
    <w:rsid w:val="008128DC"/>
    <w:rsid w:val="00820265"/>
    <w:rsid w:val="00827C30"/>
    <w:rsid w:val="008340DE"/>
    <w:rsid w:val="008363A4"/>
    <w:rsid w:val="00842109"/>
    <w:rsid w:val="00845B71"/>
    <w:rsid w:val="00845FE6"/>
    <w:rsid w:val="00854267"/>
    <w:rsid w:val="0085614F"/>
    <w:rsid w:val="0086496D"/>
    <w:rsid w:val="00866609"/>
    <w:rsid w:val="00867969"/>
    <w:rsid w:val="008745A8"/>
    <w:rsid w:val="00885C56"/>
    <w:rsid w:val="00887792"/>
    <w:rsid w:val="0089097A"/>
    <w:rsid w:val="00893B00"/>
    <w:rsid w:val="00895587"/>
    <w:rsid w:val="008B0CB9"/>
    <w:rsid w:val="008C4B7D"/>
    <w:rsid w:val="008C6DA8"/>
    <w:rsid w:val="008D2305"/>
    <w:rsid w:val="008E28EB"/>
    <w:rsid w:val="008E6F5B"/>
    <w:rsid w:val="0090303B"/>
    <w:rsid w:val="00907431"/>
    <w:rsid w:val="00914AC3"/>
    <w:rsid w:val="0092367C"/>
    <w:rsid w:val="00931D12"/>
    <w:rsid w:val="00932376"/>
    <w:rsid w:val="0093742E"/>
    <w:rsid w:val="0094008B"/>
    <w:rsid w:val="0094276E"/>
    <w:rsid w:val="0094720E"/>
    <w:rsid w:val="00951078"/>
    <w:rsid w:val="009538D6"/>
    <w:rsid w:val="00956AB8"/>
    <w:rsid w:val="00956FE8"/>
    <w:rsid w:val="009573A9"/>
    <w:rsid w:val="009655AF"/>
    <w:rsid w:val="00970CC9"/>
    <w:rsid w:val="00976FE8"/>
    <w:rsid w:val="00980E83"/>
    <w:rsid w:val="00985053"/>
    <w:rsid w:val="00991F3F"/>
    <w:rsid w:val="009A1042"/>
    <w:rsid w:val="009B3DED"/>
    <w:rsid w:val="009B4EFE"/>
    <w:rsid w:val="009B6598"/>
    <w:rsid w:val="009C1618"/>
    <w:rsid w:val="009C5B28"/>
    <w:rsid w:val="009C7207"/>
    <w:rsid w:val="009D6B51"/>
    <w:rsid w:val="009E0543"/>
    <w:rsid w:val="00A032D0"/>
    <w:rsid w:val="00A058AA"/>
    <w:rsid w:val="00A05999"/>
    <w:rsid w:val="00A07817"/>
    <w:rsid w:val="00A15752"/>
    <w:rsid w:val="00A17402"/>
    <w:rsid w:val="00A30A20"/>
    <w:rsid w:val="00A40675"/>
    <w:rsid w:val="00A42AA3"/>
    <w:rsid w:val="00A4717F"/>
    <w:rsid w:val="00A54416"/>
    <w:rsid w:val="00A67481"/>
    <w:rsid w:val="00A67F11"/>
    <w:rsid w:val="00A72FE9"/>
    <w:rsid w:val="00A767BA"/>
    <w:rsid w:val="00A8030B"/>
    <w:rsid w:val="00A8187A"/>
    <w:rsid w:val="00A83499"/>
    <w:rsid w:val="00A949D4"/>
    <w:rsid w:val="00AA2EB9"/>
    <w:rsid w:val="00AB0BB9"/>
    <w:rsid w:val="00AB0E93"/>
    <w:rsid w:val="00AB1353"/>
    <w:rsid w:val="00AB3B02"/>
    <w:rsid w:val="00AD64F7"/>
    <w:rsid w:val="00AD6B9E"/>
    <w:rsid w:val="00AE31FA"/>
    <w:rsid w:val="00AF288B"/>
    <w:rsid w:val="00B067B9"/>
    <w:rsid w:val="00B07578"/>
    <w:rsid w:val="00B10669"/>
    <w:rsid w:val="00B1125D"/>
    <w:rsid w:val="00B314C0"/>
    <w:rsid w:val="00B3318F"/>
    <w:rsid w:val="00B3475E"/>
    <w:rsid w:val="00B41969"/>
    <w:rsid w:val="00B42F85"/>
    <w:rsid w:val="00B54A51"/>
    <w:rsid w:val="00B552A1"/>
    <w:rsid w:val="00B55385"/>
    <w:rsid w:val="00B562ED"/>
    <w:rsid w:val="00B77E76"/>
    <w:rsid w:val="00B93C18"/>
    <w:rsid w:val="00BB1B9B"/>
    <w:rsid w:val="00BC283B"/>
    <w:rsid w:val="00BC69F1"/>
    <w:rsid w:val="00BD3FB8"/>
    <w:rsid w:val="00BD4C4E"/>
    <w:rsid w:val="00BD7FB7"/>
    <w:rsid w:val="00BE4798"/>
    <w:rsid w:val="00BF12A0"/>
    <w:rsid w:val="00C0013E"/>
    <w:rsid w:val="00C128D9"/>
    <w:rsid w:val="00C15CDA"/>
    <w:rsid w:val="00C24C06"/>
    <w:rsid w:val="00C27187"/>
    <w:rsid w:val="00C27FDD"/>
    <w:rsid w:val="00C333B2"/>
    <w:rsid w:val="00C40CBE"/>
    <w:rsid w:val="00C412AE"/>
    <w:rsid w:val="00C454D1"/>
    <w:rsid w:val="00C51BC7"/>
    <w:rsid w:val="00C5635C"/>
    <w:rsid w:val="00C66DB7"/>
    <w:rsid w:val="00C674AD"/>
    <w:rsid w:val="00C710A2"/>
    <w:rsid w:val="00C731B2"/>
    <w:rsid w:val="00C744CD"/>
    <w:rsid w:val="00C96E75"/>
    <w:rsid w:val="00CA0434"/>
    <w:rsid w:val="00CA1649"/>
    <w:rsid w:val="00CA487B"/>
    <w:rsid w:val="00CB2C45"/>
    <w:rsid w:val="00CC147F"/>
    <w:rsid w:val="00CD19C9"/>
    <w:rsid w:val="00CE6BB5"/>
    <w:rsid w:val="00CF72D8"/>
    <w:rsid w:val="00D0030A"/>
    <w:rsid w:val="00D0236E"/>
    <w:rsid w:val="00D0297C"/>
    <w:rsid w:val="00D113FD"/>
    <w:rsid w:val="00D12B74"/>
    <w:rsid w:val="00D14A87"/>
    <w:rsid w:val="00D155B6"/>
    <w:rsid w:val="00D2147F"/>
    <w:rsid w:val="00D22E3E"/>
    <w:rsid w:val="00D248E8"/>
    <w:rsid w:val="00D316CE"/>
    <w:rsid w:val="00D46378"/>
    <w:rsid w:val="00D5152C"/>
    <w:rsid w:val="00D535C3"/>
    <w:rsid w:val="00D53E60"/>
    <w:rsid w:val="00D64FE9"/>
    <w:rsid w:val="00D67A63"/>
    <w:rsid w:val="00D820F7"/>
    <w:rsid w:val="00D95651"/>
    <w:rsid w:val="00DA3342"/>
    <w:rsid w:val="00DB73AA"/>
    <w:rsid w:val="00DB7B31"/>
    <w:rsid w:val="00DC2577"/>
    <w:rsid w:val="00DC26CD"/>
    <w:rsid w:val="00DD4C3D"/>
    <w:rsid w:val="00DF3072"/>
    <w:rsid w:val="00E02484"/>
    <w:rsid w:val="00E107B5"/>
    <w:rsid w:val="00E12799"/>
    <w:rsid w:val="00E1465D"/>
    <w:rsid w:val="00E32953"/>
    <w:rsid w:val="00E35D09"/>
    <w:rsid w:val="00E42894"/>
    <w:rsid w:val="00E432FA"/>
    <w:rsid w:val="00E5789B"/>
    <w:rsid w:val="00E766A1"/>
    <w:rsid w:val="00E85F5A"/>
    <w:rsid w:val="00E96C7D"/>
    <w:rsid w:val="00EA1B98"/>
    <w:rsid w:val="00EA23B6"/>
    <w:rsid w:val="00EA5CA2"/>
    <w:rsid w:val="00EB6006"/>
    <w:rsid w:val="00EB7A10"/>
    <w:rsid w:val="00EC111B"/>
    <w:rsid w:val="00EC50AA"/>
    <w:rsid w:val="00ED4FF9"/>
    <w:rsid w:val="00ED6470"/>
    <w:rsid w:val="00EE385A"/>
    <w:rsid w:val="00EE5A60"/>
    <w:rsid w:val="00EF0F26"/>
    <w:rsid w:val="00F15B0B"/>
    <w:rsid w:val="00F30BA9"/>
    <w:rsid w:val="00F520A6"/>
    <w:rsid w:val="00F56DE0"/>
    <w:rsid w:val="00F620A1"/>
    <w:rsid w:val="00F82AFD"/>
    <w:rsid w:val="00F82EE2"/>
    <w:rsid w:val="00F8678B"/>
    <w:rsid w:val="00F91127"/>
    <w:rsid w:val="00F93AE4"/>
    <w:rsid w:val="00FB16F1"/>
    <w:rsid w:val="00FB4F4A"/>
    <w:rsid w:val="00FB5904"/>
    <w:rsid w:val="00FB593A"/>
    <w:rsid w:val="00FB6323"/>
    <w:rsid w:val="00FC3294"/>
    <w:rsid w:val="00FC53E2"/>
    <w:rsid w:val="00FD6269"/>
    <w:rsid w:val="00FF1DDA"/>
    <w:rsid w:val="00FF5B05"/>
    <w:rsid w:val="03434F54"/>
    <w:rsid w:val="06163A32"/>
    <w:rsid w:val="067F2A0E"/>
    <w:rsid w:val="06EA1F1A"/>
    <w:rsid w:val="070F5170"/>
    <w:rsid w:val="08D763CA"/>
    <w:rsid w:val="0D4C0A39"/>
    <w:rsid w:val="0FFB1952"/>
    <w:rsid w:val="146723CC"/>
    <w:rsid w:val="147B680C"/>
    <w:rsid w:val="15324901"/>
    <w:rsid w:val="1539797F"/>
    <w:rsid w:val="15EB22B4"/>
    <w:rsid w:val="1639423A"/>
    <w:rsid w:val="17EDC250"/>
    <w:rsid w:val="1B302ADF"/>
    <w:rsid w:val="1B620B59"/>
    <w:rsid w:val="1EBA04C4"/>
    <w:rsid w:val="1F437447"/>
    <w:rsid w:val="1F76D75D"/>
    <w:rsid w:val="233576CE"/>
    <w:rsid w:val="23F530CF"/>
    <w:rsid w:val="26271017"/>
    <w:rsid w:val="26322DEF"/>
    <w:rsid w:val="281A1A02"/>
    <w:rsid w:val="28B503F7"/>
    <w:rsid w:val="28CD2D3C"/>
    <w:rsid w:val="2CD75F5D"/>
    <w:rsid w:val="33F400E2"/>
    <w:rsid w:val="359E69AC"/>
    <w:rsid w:val="38BFF1E2"/>
    <w:rsid w:val="39B4455A"/>
    <w:rsid w:val="3ADF6EFD"/>
    <w:rsid w:val="3B982DE0"/>
    <w:rsid w:val="3BBB21DC"/>
    <w:rsid w:val="3C8C2C72"/>
    <w:rsid w:val="3D2DF7A3"/>
    <w:rsid w:val="406D5E55"/>
    <w:rsid w:val="43A37870"/>
    <w:rsid w:val="479354BC"/>
    <w:rsid w:val="486E535B"/>
    <w:rsid w:val="49FD0DB6"/>
    <w:rsid w:val="534A1D9D"/>
    <w:rsid w:val="55756839"/>
    <w:rsid w:val="5D8C4BE8"/>
    <w:rsid w:val="5FF52DFF"/>
    <w:rsid w:val="60A70F0A"/>
    <w:rsid w:val="6E6D028B"/>
    <w:rsid w:val="6EBBBD9B"/>
    <w:rsid w:val="706C1AC9"/>
    <w:rsid w:val="72DF7849"/>
    <w:rsid w:val="72EC0678"/>
    <w:rsid w:val="7397B993"/>
    <w:rsid w:val="7428006B"/>
    <w:rsid w:val="753B2A97"/>
    <w:rsid w:val="758F617C"/>
    <w:rsid w:val="76741766"/>
    <w:rsid w:val="773DD397"/>
    <w:rsid w:val="77EF4FD5"/>
    <w:rsid w:val="78C14F33"/>
    <w:rsid w:val="7CB27C44"/>
    <w:rsid w:val="7DCB394B"/>
    <w:rsid w:val="7E47317A"/>
    <w:rsid w:val="7F7FF514"/>
    <w:rsid w:val="7FBEA9CB"/>
    <w:rsid w:val="9FF6EBE3"/>
    <w:rsid w:val="B7B719FA"/>
    <w:rsid w:val="BD8BB6B3"/>
    <w:rsid w:val="BEF77B82"/>
    <w:rsid w:val="BF9D4D15"/>
    <w:rsid w:val="CB4D1783"/>
    <w:rsid w:val="CFBBDA92"/>
    <w:rsid w:val="FBFF1F8E"/>
    <w:rsid w:val="FED79344"/>
    <w:rsid w:val="FEF684E1"/>
    <w:rsid w:val="FF17A4B1"/>
    <w:rsid w:val="FFFF15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qFormat="1"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jc w:val="both"/>
    </w:pPr>
    <w:rPr>
      <w:rFonts w:ascii="Times New Roman" w:hAnsi="Times New Roman" w:eastAsia="宋体" w:cstheme="minorBidi"/>
      <w:kern w:val="2"/>
      <w:sz w:val="21"/>
      <w:szCs w:val="22"/>
      <w:lang w:val="en-US" w:eastAsia="zh-CN" w:bidi="ar-SA"/>
    </w:rPr>
  </w:style>
  <w:style w:type="paragraph" w:styleId="2">
    <w:name w:val="heading 1"/>
    <w:basedOn w:val="1"/>
    <w:next w:val="3"/>
    <w:link w:val="32"/>
    <w:qFormat/>
    <w:uiPriority w:val="0"/>
    <w:pPr>
      <w:keepNext/>
      <w:keepLines/>
      <w:pageBreakBefore/>
      <w:numPr>
        <w:ilvl w:val="0"/>
        <w:numId w:val="1"/>
      </w:numPr>
      <w:spacing w:before="340" w:after="330" w:line="578" w:lineRule="auto"/>
      <w:outlineLvl w:val="0"/>
    </w:pPr>
    <w:rPr>
      <w:b/>
      <w:bCs/>
      <w:kern w:val="44"/>
      <w:sz w:val="44"/>
      <w:szCs w:val="44"/>
    </w:rPr>
  </w:style>
  <w:style w:type="paragraph" w:styleId="4">
    <w:name w:val="heading 2"/>
    <w:basedOn w:val="2"/>
    <w:next w:val="3"/>
    <w:link w:val="33"/>
    <w:unhideWhenUsed/>
    <w:qFormat/>
    <w:uiPriority w:val="0"/>
    <w:pPr>
      <w:numPr>
        <w:ilvl w:val="1"/>
      </w:numPr>
      <w:spacing w:before="260" w:after="260" w:line="416" w:lineRule="auto"/>
      <w:outlineLvl w:val="1"/>
    </w:pPr>
    <w:rPr>
      <w:rFonts w:cstheme="majorBidi"/>
      <w:sz w:val="32"/>
      <w:szCs w:val="32"/>
    </w:rPr>
  </w:style>
  <w:style w:type="paragraph" w:styleId="5">
    <w:name w:val="heading 3"/>
    <w:basedOn w:val="1"/>
    <w:next w:val="1"/>
    <w:link w:val="34"/>
    <w:unhideWhenUsed/>
    <w:qFormat/>
    <w:uiPriority w:val="0"/>
    <w:pPr>
      <w:keepNext/>
      <w:keepLines/>
      <w:numPr>
        <w:ilvl w:val="2"/>
        <w:numId w:val="1"/>
      </w:numPr>
      <w:spacing w:before="260" w:after="260" w:line="416" w:lineRule="auto"/>
      <w:outlineLvl w:val="2"/>
    </w:pPr>
    <w:rPr>
      <w:b/>
      <w:bCs/>
      <w:sz w:val="30"/>
      <w:szCs w:val="32"/>
    </w:rPr>
  </w:style>
  <w:style w:type="paragraph" w:styleId="6">
    <w:name w:val="heading 4"/>
    <w:basedOn w:val="1"/>
    <w:next w:val="1"/>
    <w:link w:val="35"/>
    <w:unhideWhenUsed/>
    <w:qFormat/>
    <w:uiPriority w:val="0"/>
    <w:pPr>
      <w:keepNext/>
      <w:keepLines/>
      <w:numPr>
        <w:ilvl w:val="3"/>
        <w:numId w:val="1"/>
      </w:numPr>
      <w:spacing w:before="280" w:after="290" w:line="376" w:lineRule="auto"/>
      <w:outlineLvl w:val="3"/>
    </w:pPr>
    <w:rPr>
      <w:rFonts w:cstheme="majorBidi"/>
      <w:b/>
      <w:bCs/>
      <w:sz w:val="28"/>
      <w:szCs w:val="28"/>
    </w:rPr>
  </w:style>
  <w:style w:type="paragraph" w:styleId="7">
    <w:name w:val="heading 5"/>
    <w:basedOn w:val="1"/>
    <w:next w:val="1"/>
    <w:link w:val="36"/>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37"/>
    <w:unhideWhenUsed/>
    <w:qFormat/>
    <w:uiPriority w:val="9"/>
    <w:pPr>
      <w:keepNext/>
      <w:keepLines/>
      <w:numPr>
        <w:ilvl w:val="5"/>
        <w:numId w:val="1"/>
      </w:numPr>
      <w:spacing w:before="240" w:after="64" w:line="320" w:lineRule="auto"/>
      <w:outlineLvl w:val="5"/>
    </w:pPr>
    <w:rPr>
      <w:rFonts w:asciiTheme="majorHAnsi" w:hAnsiTheme="majorHAnsi" w:cstheme="majorBidi"/>
      <w:b/>
      <w:bCs/>
      <w:sz w:val="24"/>
      <w:szCs w:val="24"/>
    </w:rPr>
  </w:style>
  <w:style w:type="paragraph" w:styleId="9">
    <w:name w:val="heading 7"/>
    <w:basedOn w:val="1"/>
    <w:next w:val="1"/>
    <w:link w:val="38"/>
    <w:semiHidden/>
    <w:unhideWhenUsed/>
    <w:qFormat/>
    <w:uiPriority w:val="9"/>
    <w:pPr>
      <w:keepNext/>
      <w:keepLines/>
      <w:numPr>
        <w:ilvl w:val="6"/>
        <w:numId w:val="1"/>
      </w:numPr>
      <w:spacing w:before="240" w:after="64" w:line="320" w:lineRule="auto"/>
      <w:outlineLvl w:val="6"/>
    </w:pPr>
    <w:rPr>
      <w:b/>
      <w:bCs/>
      <w:sz w:val="24"/>
      <w:szCs w:val="24"/>
    </w:rPr>
  </w:style>
  <w:style w:type="paragraph" w:styleId="10">
    <w:name w:val="heading 8"/>
    <w:basedOn w:val="1"/>
    <w:next w:val="1"/>
    <w:link w:val="39"/>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1">
    <w:name w:val="heading 9"/>
    <w:basedOn w:val="1"/>
    <w:next w:val="1"/>
    <w:link w:val="40"/>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3">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3">
    <w:name w:val="Normal Indent"/>
    <w:basedOn w:val="1"/>
    <w:unhideWhenUsed/>
    <w:qFormat/>
    <w:uiPriority w:val="99"/>
    <w:pPr>
      <w:ind w:firstLine="200" w:firstLineChars="200"/>
    </w:pPr>
  </w:style>
  <w:style w:type="paragraph" w:styleId="12">
    <w:name w:val="annotation text"/>
    <w:basedOn w:val="1"/>
    <w:link w:val="63"/>
    <w:semiHidden/>
    <w:unhideWhenUsed/>
    <w:qFormat/>
    <w:uiPriority w:val="99"/>
    <w:pPr>
      <w:jc w:val="left"/>
    </w:pPr>
  </w:style>
  <w:style w:type="paragraph" w:styleId="13">
    <w:name w:val="toc 3"/>
    <w:basedOn w:val="1"/>
    <w:next w:val="1"/>
    <w:unhideWhenUsed/>
    <w:qFormat/>
    <w:uiPriority w:val="39"/>
    <w:pPr>
      <w:ind w:left="840" w:leftChars="400"/>
    </w:pPr>
  </w:style>
  <w:style w:type="paragraph" w:styleId="14">
    <w:name w:val="Balloon Text"/>
    <w:basedOn w:val="1"/>
    <w:link w:val="51"/>
    <w:semiHidden/>
    <w:unhideWhenUsed/>
    <w:qFormat/>
    <w:uiPriority w:val="99"/>
    <w:pPr>
      <w:spacing w:line="240" w:lineRule="auto"/>
    </w:pPr>
    <w:rPr>
      <w:sz w:val="18"/>
      <w:szCs w:val="18"/>
    </w:rPr>
  </w:style>
  <w:style w:type="paragraph" w:styleId="15">
    <w:name w:val="footer"/>
    <w:basedOn w:val="1"/>
    <w:link w:val="28"/>
    <w:unhideWhenUsed/>
    <w:qFormat/>
    <w:uiPriority w:val="99"/>
    <w:pPr>
      <w:tabs>
        <w:tab w:val="center" w:pos="4153"/>
        <w:tab w:val="right" w:pos="8306"/>
      </w:tabs>
      <w:snapToGrid w:val="0"/>
      <w:jc w:val="left"/>
    </w:pPr>
    <w:rPr>
      <w:sz w:val="18"/>
      <w:szCs w:val="18"/>
    </w:rPr>
  </w:style>
  <w:style w:type="paragraph" w:styleId="16">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style>
  <w:style w:type="paragraph" w:styleId="18">
    <w:name w:val="toc 2"/>
    <w:basedOn w:val="1"/>
    <w:next w:val="1"/>
    <w:unhideWhenUsed/>
    <w:qFormat/>
    <w:uiPriority w:val="39"/>
    <w:pPr>
      <w:ind w:left="420" w:leftChars="200"/>
    </w:pPr>
  </w:style>
  <w:style w:type="paragraph" w:styleId="19">
    <w:name w:val="annotation subject"/>
    <w:basedOn w:val="12"/>
    <w:next w:val="12"/>
    <w:link w:val="64"/>
    <w:semiHidden/>
    <w:unhideWhenUsed/>
    <w:qFormat/>
    <w:uiPriority w:val="99"/>
    <w:rPr>
      <w:b/>
      <w:bCs/>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Table Professional"/>
    <w:basedOn w:val="20"/>
    <w:semiHidden/>
    <w:unhideWhenUsed/>
    <w:qFormat/>
    <w:uiPriority w:val="99"/>
    <w:pPr>
      <w:widowControl w:val="0"/>
      <w:spacing w:line="360" w:lineRule="auto"/>
      <w:ind w:firstLine="42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24">
    <w:name w:val="FollowedHyperlink"/>
    <w:basedOn w:val="23"/>
    <w:semiHidden/>
    <w:unhideWhenUsed/>
    <w:qFormat/>
    <w:uiPriority w:val="99"/>
    <w:rPr>
      <w:color w:val="954F72" w:themeColor="followedHyperlink"/>
      <w:u w:val="single"/>
      <w14:textFill>
        <w14:solidFill>
          <w14:schemeClr w14:val="folHlink"/>
        </w14:solidFill>
      </w14:textFill>
    </w:rPr>
  </w:style>
  <w:style w:type="character" w:styleId="25">
    <w:name w:val="Hyperlink"/>
    <w:basedOn w:val="23"/>
    <w:unhideWhenUsed/>
    <w:qFormat/>
    <w:uiPriority w:val="99"/>
    <w:rPr>
      <w:color w:val="0563C1" w:themeColor="hyperlink"/>
      <w:u w:val="single"/>
      <w14:textFill>
        <w14:solidFill>
          <w14:schemeClr w14:val="hlink"/>
        </w14:solidFill>
      </w14:textFill>
    </w:rPr>
  </w:style>
  <w:style w:type="character" w:styleId="26">
    <w:name w:val="annotation reference"/>
    <w:basedOn w:val="23"/>
    <w:semiHidden/>
    <w:unhideWhenUsed/>
    <w:qFormat/>
    <w:uiPriority w:val="99"/>
    <w:rPr>
      <w:sz w:val="21"/>
      <w:szCs w:val="21"/>
    </w:rPr>
  </w:style>
  <w:style w:type="character" w:customStyle="1" w:styleId="27">
    <w:name w:val="页眉 字符"/>
    <w:basedOn w:val="23"/>
    <w:link w:val="16"/>
    <w:qFormat/>
    <w:uiPriority w:val="99"/>
    <w:rPr>
      <w:sz w:val="18"/>
      <w:szCs w:val="18"/>
    </w:rPr>
  </w:style>
  <w:style w:type="character" w:customStyle="1" w:styleId="28">
    <w:name w:val="页脚 字符"/>
    <w:basedOn w:val="23"/>
    <w:link w:val="15"/>
    <w:qFormat/>
    <w:uiPriority w:val="99"/>
    <w:rPr>
      <w:sz w:val="18"/>
      <w:szCs w:val="18"/>
    </w:rPr>
  </w:style>
  <w:style w:type="paragraph" w:customStyle="1" w:styleId="29">
    <w:name w:val="页面标题"/>
    <w:basedOn w:val="1"/>
    <w:next w:val="1"/>
    <w:qFormat/>
    <w:uiPriority w:val="0"/>
    <w:pPr>
      <w:widowControl/>
      <w:ind w:firstLine="0"/>
      <w:jc w:val="center"/>
    </w:pPr>
    <w:rPr>
      <w:rFonts w:ascii="宋体" w:hAnsi="宋体" w:cs="宋体"/>
      <w:b/>
      <w:bCs/>
      <w:kern w:val="0"/>
      <w:sz w:val="44"/>
      <w:szCs w:val="44"/>
    </w:rPr>
  </w:style>
  <w:style w:type="paragraph" w:customStyle="1" w:styleId="30">
    <w:name w:val="表头"/>
    <w:basedOn w:val="1"/>
    <w:qFormat/>
    <w:uiPriority w:val="0"/>
    <w:pPr>
      <w:widowControl/>
      <w:spacing w:line="320" w:lineRule="exact"/>
      <w:jc w:val="center"/>
    </w:pPr>
    <w:rPr>
      <w:rFonts w:cs="Times New Roman"/>
      <w:b/>
      <w:bCs/>
      <w:snapToGrid w:val="0"/>
      <w:color w:val="FFFFFF" w:themeColor="background1"/>
      <w:kern w:val="0"/>
      <w:szCs w:val="18"/>
      <w14:textFill>
        <w14:solidFill>
          <w14:schemeClr w14:val="bg1"/>
        </w14:solidFill>
      </w14:textFill>
    </w:rPr>
  </w:style>
  <w:style w:type="paragraph" w:customStyle="1" w:styleId="31">
    <w:name w:val="表内容"/>
    <w:basedOn w:val="1"/>
    <w:qFormat/>
    <w:uiPriority w:val="0"/>
    <w:pPr>
      <w:widowControl/>
      <w:spacing w:line="240" w:lineRule="auto"/>
      <w:ind w:firstLine="0"/>
      <w:jc w:val="left"/>
    </w:pPr>
    <w:rPr>
      <w:rFonts w:cs="Times New Roman"/>
      <w:snapToGrid w:val="0"/>
      <w:kern w:val="0"/>
      <w:szCs w:val="24"/>
    </w:rPr>
  </w:style>
  <w:style w:type="character" w:customStyle="1" w:styleId="32">
    <w:name w:val="标题 1 字符"/>
    <w:basedOn w:val="23"/>
    <w:link w:val="2"/>
    <w:qFormat/>
    <w:uiPriority w:val="0"/>
    <w:rPr>
      <w:rFonts w:ascii="Times New Roman" w:hAnsi="Times New Roman" w:eastAsia="宋体"/>
      <w:b/>
      <w:bCs/>
      <w:kern w:val="44"/>
      <w:sz w:val="44"/>
      <w:szCs w:val="44"/>
    </w:rPr>
  </w:style>
  <w:style w:type="character" w:customStyle="1" w:styleId="33">
    <w:name w:val="标题 2 字符"/>
    <w:basedOn w:val="23"/>
    <w:link w:val="4"/>
    <w:qFormat/>
    <w:uiPriority w:val="0"/>
    <w:rPr>
      <w:rFonts w:ascii="Times New Roman" w:hAnsi="Times New Roman" w:eastAsia="宋体" w:cstheme="majorBidi"/>
      <w:b/>
      <w:bCs/>
      <w:sz w:val="32"/>
      <w:szCs w:val="32"/>
    </w:rPr>
  </w:style>
  <w:style w:type="character" w:customStyle="1" w:styleId="34">
    <w:name w:val="标题 3 字符"/>
    <w:basedOn w:val="23"/>
    <w:link w:val="5"/>
    <w:qFormat/>
    <w:uiPriority w:val="9"/>
    <w:rPr>
      <w:rFonts w:eastAsia="宋体"/>
      <w:b/>
      <w:bCs/>
      <w:sz w:val="30"/>
      <w:szCs w:val="32"/>
    </w:rPr>
  </w:style>
  <w:style w:type="character" w:customStyle="1" w:styleId="35">
    <w:name w:val="标题 4 字符"/>
    <w:basedOn w:val="23"/>
    <w:link w:val="6"/>
    <w:qFormat/>
    <w:uiPriority w:val="0"/>
    <w:rPr>
      <w:rFonts w:ascii="Times New Roman" w:hAnsi="Times New Roman" w:eastAsia="宋体" w:cstheme="majorBidi"/>
      <w:b/>
      <w:bCs/>
      <w:sz w:val="28"/>
      <w:szCs w:val="28"/>
    </w:rPr>
  </w:style>
  <w:style w:type="character" w:customStyle="1" w:styleId="36">
    <w:name w:val="标题 5 字符"/>
    <w:basedOn w:val="23"/>
    <w:link w:val="7"/>
    <w:qFormat/>
    <w:uiPriority w:val="9"/>
    <w:rPr>
      <w:rFonts w:eastAsia="宋体"/>
      <w:b/>
      <w:bCs/>
      <w:sz w:val="28"/>
      <w:szCs w:val="28"/>
    </w:rPr>
  </w:style>
  <w:style w:type="character" w:customStyle="1" w:styleId="37">
    <w:name w:val="标题 6 字符"/>
    <w:basedOn w:val="23"/>
    <w:link w:val="8"/>
    <w:qFormat/>
    <w:uiPriority w:val="9"/>
    <w:rPr>
      <w:rFonts w:eastAsia="宋体" w:asciiTheme="majorHAnsi" w:hAnsiTheme="majorHAnsi" w:cstheme="majorBidi"/>
      <w:b/>
      <w:bCs/>
      <w:sz w:val="24"/>
      <w:szCs w:val="24"/>
    </w:rPr>
  </w:style>
  <w:style w:type="character" w:customStyle="1" w:styleId="38">
    <w:name w:val="标题 7 字符"/>
    <w:basedOn w:val="23"/>
    <w:link w:val="9"/>
    <w:semiHidden/>
    <w:qFormat/>
    <w:uiPriority w:val="9"/>
    <w:rPr>
      <w:b/>
      <w:bCs/>
      <w:sz w:val="24"/>
      <w:szCs w:val="24"/>
    </w:rPr>
  </w:style>
  <w:style w:type="character" w:customStyle="1" w:styleId="39">
    <w:name w:val="标题 8 字符"/>
    <w:basedOn w:val="23"/>
    <w:link w:val="10"/>
    <w:semiHidden/>
    <w:qFormat/>
    <w:uiPriority w:val="9"/>
    <w:rPr>
      <w:rFonts w:asciiTheme="majorHAnsi" w:hAnsiTheme="majorHAnsi" w:eastAsiaTheme="majorEastAsia" w:cstheme="majorBidi"/>
      <w:sz w:val="24"/>
      <w:szCs w:val="24"/>
    </w:rPr>
  </w:style>
  <w:style w:type="character" w:customStyle="1" w:styleId="40">
    <w:name w:val="标题 9 字符"/>
    <w:basedOn w:val="23"/>
    <w:link w:val="11"/>
    <w:qFormat/>
    <w:uiPriority w:val="9"/>
    <w:rPr>
      <w:rFonts w:asciiTheme="majorHAnsi" w:hAnsiTheme="majorHAnsi" w:eastAsiaTheme="majorEastAsia" w:cstheme="majorBidi"/>
      <w:szCs w:val="21"/>
    </w:rPr>
  </w:style>
  <w:style w:type="paragraph" w:styleId="41">
    <w:name w:val="List Paragraph"/>
    <w:basedOn w:val="1"/>
    <w:qFormat/>
    <w:uiPriority w:val="34"/>
    <w:pPr>
      <w:ind w:firstLine="200" w:firstLineChars="200"/>
    </w:pPr>
  </w:style>
  <w:style w:type="character" w:customStyle="1" w:styleId="42">
    <w:name w:val="菜单命令"/>
    <w:qFormat/>
    <w:uiPriority w:val="0"/>
    <w:rPr>
      <w:rFonts w:ascii="Times New Roman" w:hAnsi="Times New Roman" w:eastAsia="宋体"/>
      <w:b/>
      <w:bCs/>
      <w:sz w:val="21"/>
      <w:szCs w:val="21"/>
    </w:rPr>
  </w:style>
  <w:style w:type="paragraph" w:customStyle="1" w:styleId="43">
    <w:name w:val="项目列举2级"/>
    <w:basedOn w:val="1"/>
    <w:qFormat/>
    <w:uiPriority w:val="0"/>
    <w:pPr>
      <w:widowControl/>
      <w:numPr>
        <w:ilvl w:val="0"/>
        <w:numId w:val="2"/>
      </w:numPr>
      <w:jc w:val="left"/>
    </w:pPr>
    <w:rPr>
      <w:rFonts w:cs="宋体"/>
      <w:kern w:val="0"/>
      <w:szCs w:val="21"/>
    </w:rPr>
  </w:style>
  <w:style w:type="character" w:customStyle="1" w:styleId="44">
    <w:name w:val="命令参数"/>
    <w:qFormat/>
    <w:uiPriority w:val="0"/>
    <w:rPr>
      <w:rFonts w:ascii="Times New Roman" w:hAnsi="Times New Roman" w:eastAsia="宋体"/>
      <w:sz w:val="21"/>
      <w:szCs w:val="21"/>
    </w:rPr>
  </w:style>
  <w:style w:type="character" w:customStyle="1" w:styleId="45">
    <w:name w:val="命令参数斜体"/>
    <w:qFormat/>
    <w:uiPriority w:val="0"/>
    <w:rPr>
      <w:rFonts w:ascii="Times New Roman" w:hAnsi="Times New Roman" w:eastAsia="宋体"/>
      <w:i/>
      <w:sz w:val="21"/>
    </w:rPr>
  </w:style>
  <w:style w:type="character" w:customStyle="1" w:styleId="46">
    <w:name w:val="命令名和动作"/>
    <w:qFormat/>
    <w:uiPriority w:val="0"/>
    <w:rPr>
      <w:rFonts w:ascii="Times New Roman" w:hAnsi="Times New Roman" w:eastAsia="黑体"/>
      <w:b/>
      <w:sz w:val="21"/>
      <w:szCs w:val="21"/>
    </w:rPr>
  </w:style>
  <w:style w:type="paragraph" w:customStyle="1" w:styleId="47">
    <w:name w:val="章节项目"/>
    <w:basedOn w:val="1"/>
    <w:qFormat/>
    <w:uiPriority w:val="0"/>
    <w:pPr>
      <w:widowControl/>
      <w:numPr>
        <w:ilvl w:val="0"/>
        <w:numId w:val="3"/>
      </w:numPr>
      <w:jc w:val="left"/>
    </w:pPr>
    <w:rPr>
      <w:rFonts w:cs="宋体"/>
      <w:kern w:val="0"/>
      <w:szCs w:val="21"/>
    </w:rPr>
  </w:style>
  <w:style w:type="paragraph" w:customStyle="1" w:styleId="48">
    <w:name w:val="步骤下图片"/>
    <w:basedOn w:val="1"/>
    <w:qFormat/>
    <w:uiPriority w:val="0"/>
    <w:pPr>
      <w:ind w:left="1276" w:firstLine="0"/>
    </w:pPr>
  </w:style>
  <w:style w:type="paragraph" w:customStyle="1" w:styleId="49">
    <w:name w:val="代码示例"/>
    <w:basedOn w:val="1"/>
    <w:link w:val="50"/>
    <w:qFormat/>
    <w:uiPriority w:val="0"/>
    <w:pPr>
      <w:spacing w:line="240" w:lineRule="auto"/>
      <w:ind w:firstLine="0"/>
    </w:pPr>
    <w:rPr>
      <w:rFonts w:ascii="Courier New" w:hAnsi="Courier New"/>
      <w:color w:val="000000" w:themeColor="text1"/>
      <w:sz w:val="20"/>
      <w:szCs w:val="21"/>
      <w14:textFill>
        <w14:solidFill>
          <w14:schemeClr w14:val="tx1"/>
        </w14:solidFill>
      </w14:textFill>
    </w:rPr>
  </w:style>
  <w:style w:type="character" w:customStyle="1" w:styleId="50">
    <w:name w:val="代码示例 Char"/>
    <w:basedOn w:val="23"/>
    <w:link w:val="49"/>
    <w:qFormat/>
    <w:uiPriority w:val="0"/>
    <w:rPr>
      <w:rFonts w:ascii="Courier New" w:hAnsi="Courier New" w:eastAsia="宋体"/>
      <w:color w:val="000000" w:themeColor="text1"/>
      <w:sz w:val="20"/>
      <w:szCs w:val="21"/>
      <w14:textFill>
        <w14:solidFill>
          <w14:schemeClr w14:val="tx1"/>
        </w14:solidFill>
      </w14:textFill>
    </w:rPr>
  </w:style>
  <w:style w:type="character" w:customStyle="1" w:styleId="51">
    <w:name w:val="批注框文本 字符"/>
    <w:basedOn w:val="23"/>
    <w:link w:val="14"/>
    <w:semiHidden/>
    <w:qFormat/>
    <w:uiPriority w:val="99"/>
    <w:rPr>
      <w:rFonts w:eastAsia="宋体"/>
      <w:sz w:val="18"/>
      <w:szCs w:val="18"/>
    </w:rPr>
  </w:style>
  <w:style w:type="paragraph" w:customStyle="1" w:styleId="52">
    <w:name w:val="1级无序号"/>
    <w:basedOn w:val="2"/>
    <w:next w:val="1"/>
    <w:qFormat/>
    <w:uiPriority w:val="0"/>
    <w:pPr>
      <w:numPr>
        <w:numId w:val="0"/>
      </w:numPr>
    </w:pPr>
  </w:style>
  <w:style w:type="paragraph" w:customStyle="1" w:styleId="53">
    <w:name w:val="2级无序号"/>
    <w:basedOn w:val="4"/>
    <w:next w:val="1"/>
    <w:qFormat/>
    <w:uiPriority w:val="0"/>
    <w:pPr>
      <w:numPr>
        <w:ilvl w:val="0"/>
        <w:numId w:val="0"/>
      </w:numPr>
    </w:pPr>
  </w:style>
  <w:style w:type="paragraph" w:customStyle="1" w:styleId="54">
    <w:name w:val="TOC 标题1"/>
    <w:basedOn w:val="2"/>
    <w:next w:val="1"/>
    <w:unhideWhenUsed/>
    <w:qFormat/>
    <w:uiPriority w:val="39"/>
    <w:pPr>
      <w:numPr>
        <w:numId w:val="0"/>
      </w:numPr>
      <w:spacing w:before="240" w:after="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55">
    <w:name w:val="引导语（仅适用于制作模板）"/>
    <w:basedOn w:val="1"/>
    <w:qFormat/>
    <w:uiPriority w:val="0"/>
    <w:pPr>
      <w:ind w:firstLine="200" w:firstLineChars="200"/>
    </w:pPr>
    <w:rPr>
      <w:i/>
      <w:color w:val="7F7F7F" w:themeColor="background1" w:themeShade="80"/>
    </w:rPr>
  </w:style>
  <w:style w:type="table" w:customStyle="1" w:styleId="56">
    <w:name w:val="Table"/>
    <w:basedOn w:val="22"/>
    <w:qFormat/>
    <w:uiPriority w:val="0"/>
    <w:pPr>
      <w:spacing w:line="240" w:lineRule="auto"/>
      <w:ind w:firstLine="0"/>
      <w:jc w:val="left"/>
    </w:pPr>
    <w:rPr>
      <w:rFonts w:ascii="Times New Roman" w:hAnsi="Times New Roman" w:eastAsia="宋体"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paragraph" w:customStyle="1" w:styleId="57">
    <w:name w:val="Step"/>
    <w:qFormat/>
    <w:uiPriority w:val="0"/>
    <w:pPr>
      <w:numPr>
        <w:ilvl w:val="0"/>
        <w:numId w:val="4"/>
      </w:numPr>
      <w:tabs>
        <w:tab w:val="left" w:pos="1701"/>
      </w:tabs>
      <w:topLinePunct/>
      <w:spacing w:line="360" w:lineRule="auto"/>
    </w:pPr>
    <w:rPr>
      <w:rFonts w:ascii="Times New Roman" w:hAnsi="Times New Roman" w:eastAsia="宋体" w:cstheme="minorBidi"/>
      <w:snapToGrid w:val="0"/>
      <w:sz w:val="21"/>
      <w:szCs w:val="22"/>
      <w:lang w:val="en-US" w:eastAsia="zh-CN" w:bidi="ar-SA"/>
    </w:rPr>
  </w:style>
  <w:style w:type="paragraph" w:customStyle="1" w:styleId="58">
    <w:name w:val="标题五"/>
    <w:basedOn w:val="1"/>
    <w:next w:val="1"/>
    <w:qFormat/>
    <w:uiPriority w:val="0"/>
    <w:pPr>
      <w:spacing w:before="200" w:after="200" w:line="240" w:lineRule="auto"/>
      <w:ind w:firstLine="0"/>
      <w:outlineLvl w:val="4"/>
    </w:pPr>
    <w:rPr>
      <w:b/>
      <w:sz w:val="24"/>
    </w:rPr>
  </w:style>
  <w:style w:type="paragraph" w:customStyle="1" w:styleId="59">
    <w:name w:val="正文下图片"/>
    <w:basedOn w:val="1"/>
    <w:next w:val="1"/>
    <w:qFormat/>
    <w:uiPriority w:val="0"/>
    <w:pPr>
      <w:ind w:left="420" w:firstLine="0"/>
    </w:pPr>
    <w:rPr>
      <w:color w:val="FF0000"/>
    </w:rPr>
  </w:style>
  <w:style w:type="paragraph" w:customStyle="1" w:styleId="60">
    <w:name w:val="项目列举1级"/>
    <w:qFormat/>
    <w:uiPriority w:val="0"/>
    <w:pPr>
      <w:numPr>
        <w:ilvl w:val="0"/>
        <w:numId w:val="5"/>
      </w:numPr>
      <w:spacing w:before="50" w:beforeLines="50" w:after="50" w:afterLines="50"/>
      <w:ind w:left="834" w:hanging="414"/>
      <w:jc w:val="both"/>
    </w:pPr>
    <w:rPr>
      <w:rFonts w:ascii="Times New Roman" w:hAnsi="Times New Roman" w:eastAsia="宋体" w:cstheme="minorBidi"/>
      <w:b/>
      <w:kern w:val="2"/>
      <w:sz w:val="24"/>
      <w:szCs w:val="22"/>
      <w:lang w:val="en-US" w:eastAsia="zh-CN" w:bidi="ar-SA"/>
    </w:rPr>
  </w:style>
  <w:style w:type="paragraph" w:customStyle="1" w:styleId="61">
    <w:name w:val="项目列举下图片"/>
    <w:basedOn w:val="1"/>
    <w:qFormat/>
    <w:uiPriority w:val="0"/>
    <w:pPr>
      <w:ind w:left="868" w:firstLine="0"/>
    </w:pPr>
    <w:rPr>
      <w:color w:val="FF0000"/>
    </w:rPr>
  </w:style>
  <w:style w:type="paragraph" w:customStyle="1" w:styleId="62">
    <w:name w:val="提示说明"/>
    <w:qFormat/>
    <w:uiPriority w:val="0"/>
    <w:rPr>
      <w:rFonts w:ascii="Times New Roman" w:hAnsi="Times New Roman" w:eastAsia="宋体" w:cstheme="minorBidi"/>
      <w:kern w:val="2"/>
      <w:sz w:val="18"/>
      <w:szCs w:val="22"/>
      <w:lang w:val="en-US" w:eastAsia="zh-CN" w:bidi="ar-SA"/>
    </w:rPr>
  </w:style>
  <w:style w:type="character" w:customStyle="1" w:styleId="63">
    <w:name w:val="批注文字 字符"/>
    <w:basedOn w:val="23"/>
    <w:link w:val="12"/>
    <w:semiHidden/>
    <w:qFormat/>
    <w:uiPriority w:val="99"/>
    <w:rPr>
      <w:rFonts w:ascii="Times New Roman" w:hAnsi="Times New Roman" w:eastAsia="宋体"/>
    </w:rPr>
  </w:style>
  <w:style w:type="character" w:customStyle="1" w:styleId="64">
    <w:name w:val="批注主题 字符"/>
    <w:basedOn w:val="63"/>
    <w:link w:val="19"/>
    <w:semiHidden/>
    <w:qFormat/>
    <w:uiPriority w:val="99"/>
    <w:rPr>
      <w:rFonts w:ascii="Times New Roman" w:hAnsi="Times New Roman" w:eastAsia="宋体"/>
      <w:b/>
      <w:bCs/>
    </w:rPr>
  </w:style>
  <w:style w:type="paragraph" w:customStyle="1" w:styleId="65">
    <w:name w:val="附录"/>
    <w:basedOn w:val="52"/>
    <w:next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360政企</Company>
  <Pages>23</Pages>
  <Words>804</Words>
  <Characters>836</Characters>
  <Lines>6</Lines>
  <Paragraphs>1</Paragraphs>
  <TotalTime>6</TotalTime>
  <ScaleCrop>false</ScaleCrop>
  <LinksUpToDate>false</LinksUpToDate>
  <CharactersWithSpaces>841</CharactersWithSpaces>
  <Application>WPS Office_6.6.1.8808_F1E327BC-269C-435d-A152-05C5408002CA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2023-05-25T16:44:00Z</dcterms:created>
  <dc:creator>liguihai</dc:creator>
  <cp:lastModifiedBy>Wayne_H</cp:lastModifiedBy>
  <cp:lastPrinted>2020-04-30T17:33:00Z</cp:lastPrinted>
  <dcterms:modified xsi:type="dcterms:W3CDTF">2026-02-27T11:08:59Z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2052-6.6.1.8808</vt:lpwstr>
  </property>
  <property fmtid="{D5CDD505-2E9C-101B-9397-08002B2CF9AE}" pid="3" name="ICV">
    <vt:lpwstr>F4DF97B130D04BE79D2D885DCEF7FCFA_12</vt:lpwstr>
  </property>
</Properties>
</file>