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review on fundamentals for designing oxygen evolution electrocatalysts（析氧电催化剂设计基础综述）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编制日期：2026年09月18日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：Jiajia Song,† Chao Wei,† Zhen-Feng Huang, Chuntai Liu, Lin Zeng, Xin Wang, </w:t>
      </w:r>
      <w:r>
        <w:rPr>
          <w:rFonts w:ascii="Times New Roman" w:hAnsi="Times New Roman" w:eastAsia="宋体"/>
          <w:b/>
          <w:sz w:val="24"/>
        </w:rPr>
        <w:t>Zhichuan J. Xu</w:t>
      </w:r>
      <w:r>
        <w:rPr>
          <w:rFonts w:ascii="Times New Roman" w:hAnsi="Times New Roman" w:eastAsia="宋体"/>
          <w:b w:val="0"/>
          <w:sz w:val="24"/>
        </w:rPr>
        <w:t>（†Song 与 †Wei 为共同一作；通讯作者 Zhichuan J. Xu，NTU MSE）｜</w:t>
      </w:r>
      <w:r>
        <w:rPr>
          <w:rFonts w:ascii="Times New Roman" w:hAnsi="Times New Roman" w:eastAsia="宋体"/>
          <w:b w:val="0"/>
          <w:i/>
          <w:sz w:val="24"/>
        </w:rPr>
        <w:t>Chem. Soc. Rev.</w:t>
      </w:r>
      <w:r>
        <w:rPr>
          <w:rFonts w:ascii="Times New Roman" w:hAnsi="Times New Roman" w:eastAsia="宋体"/>
          <w:b w:val="0"/>
          <w:sz w:val="24"/>
        </w:rPr>
        <w:t xml:space="preserve"> 2020, 49, 2196–2214｜DOI: 10.1039/c9cs00607a（2019-12-10 投稿，2020-03-05 在线）｜精读日期 2026-09-18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证据分级：R0=原文事实（附页码锚点，如 p.3）｜R1=外部背景知识｜R2=我的推断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本文是徐梽川（Zhichuan J. Xu）组的经典设计原理综述。出发点：电解水制氢中析氧反应（oxygen evolution reaction, OER）因四电子转移而动力学迟缓，是全流程瓶颈；催化剂性能取决于两点——活性位数量与单个位点的本征活性（intrinsic activity），后者要求从机制层面找到过电位的来源（p.2196–2197）。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综述分三大块：① 传统吸附质演化机制（adsorbate evolution mechanism, AEM）及其中间体标度关系（scaling relation）、活性火山图与描述符；② 突破标度关系活性上限的三条策略——独立稳定 HOO、引入质子受体（proton acceptor）、切换到晶格氧机制（lattice oxygen mechanism, LOM）；③ 七条未来方向（pp.2207–2209）。Table 1 汇总 23 个代表性催化剂的设计参数与活性位，其中 1–19 号走 AEM、20–23 号走 LOM，是一张可直接查阅的"设计参数—材料"对照表（p.2208）。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课题关联分析（与"电沉积 MnO₂ 稳定 Ru 酸性 OER"的直接关联）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第一，本文给出了"为什么必须做酸性"的量化依据，并明确指出酸性催化剂的材料边界。</w:t>
      </w:r>
      <w:r>
        <w:rPr>
          <w:rFonts w:ascii="Times New Roman" w:hAnsi="Times New Roman" w:eastAsia="宋体"/>
          <w:b w:val="0"/>
          <w:sz w:val="24"/>
        </w:rPr>
        <w:t xml:space="preserve"> PEM 电解槽比碱性路线更有前景，因为 PEM 制造局部酸性环境（Nafion 约相当于 1 M 质子），而多数过渡金属氧化物无法在酸性下存活；碱性路线则受制于 OH⁻ 迁移率与扩散系数比质子低 1.75 倍（p.2208）。截至成稿，唯一兼具高活性与酸稳定性的仍是 Ir 基氧化物，而 Ir 是地壳最稀缺元素之一；甚至基准 IrO₂ 在酸、碱中同样溶解，原因是生成水溶性 IrO₄²⁻ 阴离子（p.2208）。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第二，本文最关键的是 4.4 节对 MnO₂ 的定位。</w:t>
      </w:r>
      <w:r>
        <w:rPr>
          <w:rFonts w:ascii="Times New Roman" w:hAnsi="Times New Roman" w:eastAsia="宋体"/>
          <w:b w:val="0"/>
          <w:sz w:val="24"/>
        </w:rPr>
        <w:t xml:space="preserve"> 作者记载：Li 等报道的酸稳定催化剂 γ-MnO₂ 在 pH 2 下电解 8000 h 几乎不失活，并据此指出"为过渡金属氧化物寻找合适的电位工作窗口是必要的"；此外在 MnO₂ 中掺入 Ti、Ge 等杂原子可稳定其反应终止态、使 MnO₂ 上具有更多配位不饱和位点，为酸性长期运行的非贵金属催化剂打开表面工程的可能（p.2208）。这为把 MnO₂ 从"碱性催化剂"重新定位为酸性 OER 的载体/稳定组分提供依据（R1/R2）。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第三，本文给出 RuO₂ 的直接设计学。</w:t>
      </w:r>
      <w:r>
        <w:rPr>
          <w:rFonts w:ascii="Times New Roman" w:hAnsi="Times New Roman" w:eastAsia="宋体"/>
          <w:b w:val="0"/>
          <w:sz w:val="24"/>
        </w:rPr>
        <w:t xml:space="preserve"> Rossmeisl 提出用 Ni 或 Co 取代 RuO₂ 可把桥位氧活化作为质子受体：HO、HOO 上的 H 转移到相邻活化氧形成 O+H 与 OO+H，使 HOO–HO 吸附能差降到 3.2 eV 以下；Ni 与 Co 取代 RuO₂ 的最大自由能步为 1.49 与 1.33 eV，对应过电位 0.26 与 0.10 eV，远低于火山顶 0.37 eV（pp.2203–2204）。这是"用什么元素修饰 Ru、修饰在哪个位点"的第一性原理依据，本课题的 Mn 可视为同族"桥位氧活化剂"候选（R2）。此外 Shao-Horn 用原位表面 X 射线散射结合 DFT 研究酸性电解液中单晶 RuO₂(110)，在 OER 电位窗口内于欠配位 Ru 位检测到被相邻 HO 稳定的 OO 物种，随后 HO 去质子化是电位决定步（p.2204）——酸性 Ru 体系原位表征的范式。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第四，描述符层面存在对本课题极为关键的一条定量 trade-off。</w:t>
      </w:r>
      <w:r>
        <w:rPr>
          <w:rFonts w:ascii="Times New Roman" w:hAnsi="Times New Roman" w:eastAsia="宋体"/>
          <w:b w:val="0"/>
          <w:sz w:val="24"/>
        </w:rPr>
        <w:t xml:space="preserve"> Mn⁴⁺(3d³) 为 t₂g³e_g⁰、Mn³⁺(3d⁴) 高自旋为 t₂g³e_g¹，即 e_g = 1 的最优值恰可由 Mn³⁺ 提供（p.2200）。但本文同时明确：O p 带中心越靠近费米能级活性越高、氧化物稳定性越低（p.2202）——这正是"稳定 Ru"必须正面处理的物理量（R2）。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内容深度解读（含关键数据与机制，逐条标 R0 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（1）AEM 与中间体标度关系（pp.2197–2198）。</w:t>
      </w:r>
      <w:r>
        <w:rPr>
          <w:rFonts w:ascii="Times New Roman" w:hAnsi="Times New Roman" w:eastAsia="宋体"/>
          <w:b w:val="0"/>
          <w:sz w:val="24"/>
        </w:rPr>
        <w:t xml:space="preserve"> AEM 为四步协同质子—电子转移（CPET）：OH⁻ + </w:t>
      </w:r>
      <w:r>
        <w:rPr>
          <w:rFonts w:ascii="Times New Roman" w:hAnsi="Times New Roman" w:eastAsia="宋体"/>
          <w:b w:val="0"/>
          <w:i/>
          <w:sz w:val="24"/>
        </w:rPr>
        <w:t xml:space="preserve"> → HO</w:t>
      </w:r>
      <w:r>
        <w:rPr>
          <w:rFonts w:ascii="Times New Roman" w:hAnsi="Times New Roman" w:eastAsia="宋体"/>
          <w:b w:val="0"/>
          <w:sz w:val="24"/>
        </w:rPr>
        <w:t xml:space="preserve"> + e⁻；HO</w:t>
      </w:r>
      <w:r>
        <w:rPr>
          <w:rFonts w:ascii="Times New Roman" w:hAnsi="Times New Roman" w:eastAsia="宋体"/>
          <w:b w:val="0"/>
          <w:i/>
          <w:sz w:val="24"/>
        </w:rPr>
        <w:t xml:space="preserve"> → O</w:t>
      </w:r>
      <w:r>
        <w:rPr>
          <w:rFonts w:ascii="Times New Roman" w:hAnsi="Times New Roman" w:eastAsia="宋体"/>
          <w:b w:val="0"/>
          <w:sz w:val="24"/>
        </w:rPr>
        <w:t xml:space="preserve"> + e⁻ + H⁺；O</w:t>
      </w:r>
      <w:r>
        <w:rPr>
          <w:rFonts w:ascii="Times New Roman" w:hAnsi="Times New Roman" w:eastAsia="宋体"/>
          <w:b w:val="0"/>
          <w:i/>
          <w:sz w:val="24"/>
        </w:rPr>
        <w:t xml:space="preserve"> + OH⁻ → HOO</w:t>
      </w:r>
      <w:r>
        <w:rPr>
          <w:rFonts w:ascii="Times New Roman" w:hAnsi="Times New Roman" w:eastAsia="宋体"/>
          <w:b w:val="0"/>
          <w:sz w:val="24"/>
        </w:rPr>
        <w:t xml:space="preserve"> + e⁻；HOO</w:t>
      </w:r>
      <w:r>
        <w:rPr>
          <w:rFonts w:ascii="Times New Roman" w:hAnsi="Times New Roman" w:eastAsia="宋体"/>
          <w:b w:val="0"/>
          <w:i/>
          <w:sz w:val="24"/>
        </w:rPr>
        <w:t xml:space="preserve"> → </w:t>
      </w:r>
      <w:r>
        <w:rPr>
          <w:rFonts w:ascii="Times New Roman" w:hAnsi="Times New Roman" w:eastAsia="宋体"/>
          <w:b w:val="0"/>
          <w:sz w:val="24"/>
        </w:rPr>
        <w:t xml:space="preserve"> + O₂(g) + e⁻ + H⁺（式 1–4），四步自由能 ΔG1–ΔG4 中最正者决定过电位（p.2197）。理想催化剂要求四步在 U = 0 时自由能均为 1.23 eV，但几乎不可实现，因为中间体吸附能线性相关：HOO</w:t>
      </w:r>
      <w:r>
        <w:rPr>
          <w:rFonts w:ascii="Times New Roman" w:hAnsi="Times New Roman" w:eastAsia="宋体"/>
          <w:b w:val="0"/>
          <w:i/>
          <w:sz w:val="24"/>
        </w:rPr>
        <w:t xml:space="preserve"> 与 HO</w:t>
      </w:r>
      <w:r>
        <w:rPr>
          <w:rFonts w:ascii="Times New Roman" w:hAnsi="Times New Roman" w:eastAsia="宋体"/>
          <w:b w:val="0"/>
          <w:sz w:val="24"/>
        </w:rPr>
        <w:t xml:space="preserve"> 均以单键经一个 O 原子结合表面，故 ΔG_HOO</w:t>
      </w:r>
      <w:r>
        <w:rPr>
          <w:rFonts w:ascii="Times New Roman" w:hAnsi="Times New Roman" w:eastAsia="宋体"/>
          <w:b w:val="0"/>
          <w:i/>
          <w:sz w:val="24"/>
        </w:rPr>
        <w:t xml:space="preserve"> − ΔG_HO</w:t>
      </w:r>
      <w:r>
        <w:rPr>
          <w:rFonts w:ascii="Times New Roman" w:hAnsi="Times New Roman" w:eastAsia="宋体"/>
          <w:b w:val="0"/>
          <w:sz w:val="24"/>
        </w:rPr>
        <w:t xml:space="preserve"> = 3.2 ± 0.2 eV，与金属或氧化物表面及结合位点无关（p.2197）。由此得三点：其一，算一个即可推另一个，省计算量；其二，3.2 eV &gt; 2.46 eV（2 × 1.23 eV），故理论最小过电位为 0.37 eV = (3.2 − 2.46)/2；其三，ΔG1 与 ΔG4 很少是电位决定步，故 (ΔG_O</w:t>
      </w:r>
      <w:r>
        <w:rPr>
          <w:rFonts w:ascii="Times New Roman" w:hAnsi="Times New Roman" w:eastAsia="宋体"/>
          <w:b w:val="0"/>
          <w:i/>
          <w:sz w:val="24"/>
        </w:rPr>
        <w:t xml:space="preserve"> − ΔG_HO</w:t>
      </w:r>
      <w:r>
        <w:rPr>
          <w:rFonts w:ascii="Times New Roman" w:hAnsi="Times New Roman" w:eastAsia="宋体"/>
          <w:b w:val="0"/>
          <w:sz w:val="24"/>
        </w:rPr>
        <w:t>) 可作通用描述符，η = {max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(ΔG_O</w:t>
      </w:r>
      <w:r>
        <w:rPr>
          <w:rFonts w:ascii="Times New Roman" w:hAnsi="Times New Roman" w:eastAsia="宋体"/>
          <w:b w:val="0"/>
          <w:i/>
          <w:sz w:val="24"/>
        </w:rPr>
        <w:t xml:space="preserve"> − ΔG_HO</w:t>
      </w:r>
      <w:r>
        <w:rPr>
          <w:rFonts w:ascii="Times New Roman" w:hAnsi="Times New Roman" w:eastAsia="宋体"/>
          <w:b w:val="0"/>
          <w:sz w:val="24"/>
        </w:rPr>
        <w:t>), 3.2 eV − (ΔG_O</w:t>
      </w:r>
      <w:r>
        <w:rPr>
          <w:rFonts w:ascii="Times New Roman" w:hAnsi="Times New Roman" w:eastAsia="宋体"/>
          <w:b w:val="0"/>
          <w:i/>
          <w:sz w:val="24"/>
        </w:rPr>
        <w:t xml:space="preserve"> − ΔG_HO</w:t>
      </w:r>
      <w:r>
        <w:rPr>
          <w:rFonts w:ascii="Times New Roman" w:hAnsi="Times New Roman" w:eastAsia="宋体"/>
          <w:b w:val="0"/>
          <w:sz w:val="24"/>
        </w:rPr>
        <w:t>)]/e}，给出与材料无关的火山形关系，最优值 1.6 eV（p.2198）。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（2）基于 (ΔG_O</w:t>
      </w:r>
      <w:r>
        <w:rPr>
          <w:rFonts w:ascii="Times New Roman" w:hAnsi="Times New Roman" w:eastAsia="宋体"/>
          <w:b/>
          <w:i/>
          <w:sz w:val="24"/>
        </w:rPr>
        <w:t xml:space="preserve"> − ΔG_HO</w:t>
      </w:r>
      <w:r>
        <w:rPr>
          <w:rFonts w:ascii="Times New Roman" w:hAnsi="Times New Roman" w:eastAsia="宋体"/>
          <w:b/>
          <w:sz w:val="24"/>
        </w:rPr>
        <w:t>) 的三条设计策略（pp.2198–2199）。</w:t>
      </w:r>
      <w:r>
        <w:rPr>
          <w:rFonts w:ascii="Times New Roman" w:hAnsi="Times New Roman" w:eastAsia="宋体"/>
          <w:b w:val="0"/>
          <w:sz w:val="24"/>
        </w:rPr>
        <w:t xml:space="preserve"> ① 异种元素取代：Carter 用 DFT+U 研究 α-Fe₂O₃ 上阳离子（Fe→Ti、Mn、Co、Ni）与阴离子（O→F、Si）取代，Co、Ni 取代使氧结合略减弱、活性提升；三元 G-FeCoW 胶体羟基氧化物中 W/Fe/Co 协同调制局域配位与电子结构，计算过电位接近 0.4 eV，活性高于退火样、无 W 的 gelled FeCo 与基准 NiFeOOH。② 空位：CoO 的氧空位增强电荷转移；SnCo₀.₉Fe₀.₁(OH)₆ 经 Ar 等离子体造 Sn 空位、降低活性位配位数，最优吸附能对应过电位 0.43 eV。③ 应变：拉应变利于填充面内 d_x²−y²、压应变利于填充面外 d_z²；LaCoO₃ 中等拉应变提升活性；LaNiO₃ 用不同失配衬底把应变从 −2.2% 调至 2.7%，中等压应变因削弱 M–O 键而提升活性。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（3）两类核心描述符（pp.2200–2202）。</w:t>
      </w:r>
      <w:r>
        <w:rPr>
          <w:rFonts w:ascii="Times New Roman" w:hAnsi="Times New Roman" w:eastAsia="宋体"/>
          <w:b w:val="0"/>
          <w:sz w:val="24"/>
        </w:rPr>
        <w:t xml:space="preserve"> ① e_g 占据：e_g 占据越低则氧结合越强，最优接近 1，可由氧化态与自旋态共同调控——Mn³⁺(3d⁴) 高自旋为 t₂g³e_g¹，Mn⁴⁺(3d³) 为 t₂g³e_g⁰，Ni³⁺(3d⁷) 低自旋为 t₂g⁶e_g¹；自旋态可经应变（LaCoO₃(100) 优于 (110)/(111)）、纳米化（减小 LaCoO₃ 粒径诱导低自旋→高自旋）与掺杂（Fe 取代使 Co³⁺ 转中间自旋）调控，经几何占据校正后亦适用于尖晶石（pp.2200–2201）。② 金属—氧共价性：e_g 无法解释同为 e_g = 1 的 LaMnO₃、LaCoO₃、LaNiO₃ 之间的活性差异；改用共价性（hole_e_g + ¼hole_t2g）或 O p 带中心量化。</w:t>
      </w:r>
      <w:r>
        <w:rPr>
          <w:rFonts w:ascii="Times New Roman" w:hAnsi="Times New Roman" w:eastAsia="宋体"/>
          <w:b/>
          <w:sz w:val="24"/>
        </w:rPr>
        <w:t>O p 带中心越靠近费米能级活性越高，但太靠近时氧化物稳定性下降</w:t>
      </w:r>
      <w:r>
        <w:rPr>
          <w:rFonts w:ascii="Times New Roman" w:hAnsi="Times New Roman" w:eastAsia="宋体"/>
          <w:b w:val="0"/>
          <w:sz w:val="24"/>
        </w:rPr>
        <w:t>；由电荷转移能（未占据金属 3d 与占据 O 2p 带中心之差）刻画的共价性，与氧空位形成能、氧结合能、电子转移势垒线性相关，故共价性可决定总体活性（p.2202）。诱导效应：电负性更高的取代金属降低 d 带能量、扩大共价性；低价金属或金属空位提高金属氧化态亦可扩大共价性。八面体位 Co_Oct 与氧的杂化强于四面体位 Co_Td，故比活性 CoAl₂O₄ &lt; ZnCo₂O₄ &lt; Co₃O₄；10–30 at% 的 Fe 取代可增大 ZnCo₂O₄ 中 Co 3d–O 2p 共价性（p.2202）。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（4）突破火山顶的三条策略与关键数据（pp.2202–2207）。</w:t>
      </w:r>
      <w:r>
        <w:rPr>
          <w:rFonts w:ascii="Times New Roman" w:hAnsi="Times New Roman" w:eastAsia="宋体"/>
          <w:b w:val="0"/>
          <w:sz w:val="24"/>
        </w:rPr>
        <w:t xml:space="preserve"> ① 独立稳定 HOO：双位点机制——Ni-NHGF 的 NiN₄C₄ 中 O、HO 吸附在 C 位而 HOO 吸附在 Ni 位，HOO–HO 差不再是 3.2 eV，活性高于 Co/Fe-NHGF；氢键机制——在 RuO₂、IrO₂(110) 上构筑约 7 Å 通道，HOO 与对侧表面 O 形成氢键，RuO₂ 过电位降至约 0.2 eV，低于标度关系给出的约 0.4 eV（pp.2202–2203）。② 引入质子受体：Ni/Co 取代 RuO₂ 活化桥位氧（数据见第二节，过电位 0.26/0.10 eV）；磷酸根（Pi，pKa = 12.67，强亲核）功能化 La₀.₅Sr₀.₅CoO₃₋δ 后活性约为未改性样的 2 倍、LaCoO₃ 的 10 倍；Sr₃B₂O₆ 作质子受体功能化 A 位缺陷 Sr₀.₈Co₀.₈Fe₀.₂O₃₋δ，在 350 mV 过电位下活性提升 2.7 倍（pp.2203–2204）。③ LOM：两个相邻金属位上的 HO 先去质子化形成金属—氧物种，相邻氧物种直接耦合成 O–O（不经 HOO），从而绕过 0.37 eV 上限。当金属 d 带能量低于氧 p 带时，电子由 p 带转移到 d 带产生配体空穴，机制即由 AEM 切换为 LOM；Sr 掺入 La₁₋ₓSrₓCoO₃₋δ 在 x ≥ 0.4 时切换为 LOM，¹⁸O 同位素标记质谱给出晶格氧参与的直接证据，且这类氧化物在 RHE 尺度上呈 pH 依赖活性。反例：Chorkendorff 发现 NiFeO_xH_y 无晶格氧参与却仍 pH 依赖，Xu 组 ZnFe₀.₄Co₁.₆O₄ 走 AEM 亦 pH 依赖，故 pH 依赖并非 LOM 的充分判据（pp.2204–2205）。MOOH 与钙钛矿不同：三个 O 2p 轨道通常都参与 M–O 成键、没有非键 O_NB 态，而 O_NB 是生成过氧/超氧型 O–O 中间体而不破坏结构的前提；用低价惰性 Zn²⁺(d¹⁰) 掺入 CoOOH 造出可及 O_NB 态并同时提高 Co–O 共价性，沿 Zn–O2–Co–O2–Zn 构型产生氧空穴，Zn₀.₂Co₀.₈OOH 在 270 mV 过电位下比活性 0.38 mA cm_ox⁻²，约为未改性 CoOOH 的 38 倍（p.2207）。性能数据：La₀.₅Sr₁.₅Ni₀.₇Fe₀.₃O₄₊δ 在 1.63 V vs RHE 下比活性 32.7 mA cm_ox⁻²、质量活性 1930 mA mg_ox⁻¹，分别是 SrCoO₂.₇（9.2 mA cm_ox⁻²、332 mA mg_ox⁻¹）的 3.5 与 5.0 倍（p.2206）。Shao-Horn 认为晶态 RuO₂ 表面不发生晶格氧交换，说明该行为依赖结构与结晶度（p.2206）。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（5）材料体系分类与未来方向（pp.2207–2209）。</w:t>
      </w:r>
      <w:r>
        <w:rPr>
          <w:rFonts w:ascii="Times New Roman" w:hAnsi="Times New Roman" w:eastAsia="宋体"/>
          <w:b w:val="0"/>
          <w:sz w:val="24"/>
        </w:rPr>
        <w:t xml:space="preserve"> Table 1 已按六类设计参数把 23 个催化剂逐条列出（第 1–19 号走 AEM，20–23 号走 LOM，p.2208）。七条未来方向：突破标度关系提升本征活性；发展原位表征工具（飞秒光谱、NAP-XPS/STM、in situ XAS/DRIFT，目前无单一技术能同时捕捉相变、价态与形貌）；碱性阴离子交换膜；酸稳定电催化剂；重构机制；电极—电解液界面；电解槽放大（Jaramillo 把 CoP 从 1 cm² 放到 86 cm²）（pp.2207–2209）。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（1）标度关系是硬性上限（0.37 eV），要突破必须改变机制，而机制改变（LOM）恰带来晶格氧流失与溶解——活性与稳定性的矛盾是结构性的（pp.2198、2202）。（2）活性—稳定性 trade-off 已被量化：O p 带中心靠近费米能级则活性升、稳定性降（p.2202）。（3）机制归属的实验判据不唯一：pH 依赖不等于 LOM（Chorkendorff 反例；Xu 组 ZnFeCo 亦然），晶格氧交换又依赖结构与结晶度（pp.2204–2206）。（4）质子受体策略在酸性下的适配性存疑：Pi、Sr₃B₂O₆ 等受体仅在碱性/中性下被验证，酸性 OER 下受体本身可能溶解（R2）。（5）本文成稿于 2019–2020 年，未覆盖 2021 年后的 Ru 基酸性 OER 进展（如 Ru/MnO₂ 重构）；酸性部分仅 4.4 节一段，以 Ir 基为主（R0）。（6）与第一篇综述一致，全文</w:t>
      </w:r>
      <w:r>
        <w:rPr>
          <w:rFonts w:ascii="Times New Roman" w:hAnsi="Times New Roman" w:eastAsia="宋体"/>
          <w:b/>
          <w:sz w:val="24"/>
        </w:rPr>
        <w:t>未给出 S-number、ICP-MS 溶出速率与 Tafel 斜率数值</w:t>
      </w:r>
      <w:r>
        <w:rPr>
          <w:rFonts w:ascii="Times New Roman" w:hAnsi="Times New Roman" w:eastAsia="宋体"/>
          <w:b w:val="0"/>
          <w:sz w:val="24"/>
        </w:rPr>
        <w:t>，仅有理论过电位与活性/时长数据，定量稳定性指标须另找原始文献（R0）。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可借鉴点（对实验设计直接可用：合成 / 表征 / 电化学测试 / 稳定性评价）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合成</w:t>
      </w:r>
      <w:r>
        <w:rPr>
          <w:rFonts w:ascii="Times New Roman" w:hAnsi="Times New Roman" w:eastAsia="宋体"/>
          <w:b w:val="0"/>
          <w:sz w:val="24"/>
        </w:rPr>
        <w:t>：（a）共电沉积或阳离子交换引入 Mn：借 Ni/Co 取代 RuO₂ 活化桥位氧的思路设计 Ru–Mn 界面构型；对照至少四组——RuO₂ 参比、纯 MnO₂、低 Mn 负载 Ru–MnO₂、高 Mn 负载 Ru–MnO₂（R2）。（b）异原子掺杂稳定终止态：参照 Ti、Ge 掺入 MnO₂ 可稳定反应终止态并增加欠配位位点（p.2208），可试 Ti/Ge/Sn 共掺以稳定 MnO₂ 骨架（R1/R2）。（c）借 LaNiO₃ 应变调控（−2.2%~2.7%）的思路做 α-、β-、γ-MnO₂ 三晶型平行对照（pp.2199、2202）。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表征</w:t>
      </w:r>
      <w:r>
        <w:rPr>
          <w:rFonts w:ascii="Times New Roman" w:hAnsi="Times New Roman" w:eastAsia="宋体"/>
          <w:b w:val="0"/>
          <w:sz w:val="24"/>
        </w:rPr>
        <w:t>：（a）用 O K-edge 软 XAS 与 XPS O 1s 判断 O 2p–金属 3d 杂化（共价性）变化（p.2202）；（b）用 ¹⁸O 同位素标记 + DEMS 判断晶格氧是否参与，直接检验 Mn 是否把 Ru 从 LOM 拉回 AEM/OPM（pp.2205–2206）；（c）参照 Co₃O₄ 亚纳米壳层在非 OER 电位区可逆恢复的行为，做相变可逆性检查（p.2209）。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电化学测试</w:t>
      </w:r>
      <w:r>
        <w:rPr>
          <w:rFonts w:ascii="Times New Roman" w:hAnsi="Times New Roman" w:eastAsia="宋体"/>
          <w:b w:val="0"/>
          <w:sz w:val="24"/>
        </w:rPr>
        <w:t>：同时报告 ECSA 归一化比活性（mA cm_ox⁻²）与质量活性（mA mg_ox⁻¹），与 Table 1 风格对齐（p.2208）；电位用 RHE 标度并明确是否 pH 依赖（LOM 判据之一，p.2205）；电流密度至少取 10 与 50 mA cm⁻² 两档（p.2206）。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稳定性评价</w:t>
      </w:r>
      <w:r>
        <w:rPr>
          <w:rFonts w:ascii="Times New Roman" w:hAnsi="Times New Roman" w:eastAsia="宋体"/>
          <w:b w:val="0"/>
          <w:sz w:val="24"/>
        </w:rPr>
        <w:t>：（a）先做"电位窗口扫描"——在 pH 2 硫酸中固定不同阳极电位长时间计时，找出 MnO₂ 与 Ru–MnO₂ 的稳定窗口，对标 γ-MnO₂ 在 pH 2 下 8000 h（p.2208）；（b）分段取样 ICP-MS 测 Ru、Mn 溶出（R1）；（c）MEA 级验证：本文指出目前尚缺导电耐久的膜使非贵金属催化剂在 MEA 层面被基准化（p.2208），酸性 PEM 同理，故应至少报告长测后催化剂层附着与界面完整性（R2）。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两篇综述互补：本文回答"什么描述符决定活性、酸性下的材料边界在哪"，AEM-2023 回答"重构后是什么、为何更优"。本文 4.4 节是选题合法性地基（γ-MnO₂ 在 pH 2 稳定 8000 h），AEM-2023 第 6 节是路线图（Ru/MnO₂ 重构 → 161 mV、&gt;200 h）。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核心科学张力：提高活性（O p 带中心靠近费米能级、触发 LOM）与提高稳定性（把该带中心推离费米能级、提高氧空位形成能）是同一旋钮的两端（p.2202；AEM-2023 p.15）。本课题须正面回答：Ru–O–Mn 界面耦合把这个旋钮放在了哪里。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我倾向于三条可检验假设（R2）：（i）MnO₂ 作为电子储库调节 Ru–O 共价性；（ii）MnO₂ 作为氧空位缓冲层抑制 Ru 过氧化与溶解；（iii）Mn–Ru 阳离子交换重构形成对称 Ru 位点、令反应走 OPM（AEM-2023 pp.15–16）。可用 XPS/XAS 价态与共价性、ICP-MS 溶出曲线、¹⁸O-DEMS 三条证据链验证或否证。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需补的关键原始文献：Li et al. </w:t>
      </w:r>
      <w:r>
        <w:rPr>
          <w:rFonts w:ascii="Times New Roman" w:hAnsi="Times New Roman" w:eastAsia="宋体"/>
          <w:b w:val="0"/>
          <w:i/>
          <w:sz w:val="24"/>
        </w:rPr>
        <w:t>Angew. Chem. Int. Ed.</w:t>
      </w:r>
      <w:r>
        <w:rPr>
          <w:rFonts w:ascii="Times New Roman" w:hAnsi="Times New Roman" w:eastAsia="宋体"/>
          <w:b w:val="0"/>
          <w:sz w:val="24"/>
        </w:rPr>
        <w:t xml:space="preserve"> 2019, 58, 5054（γ-MnO₂ 酸稳定 8000 h，即 p.2208 文献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178]）；Lin et al. </w:t>
      </w:r>
      <w:r>
        <w:rPr>
          <w:rFonts w:ascii="Times New Roman" w:hAnsi="Times New Roman" w:eastAsia="宋体"/>
          <w:b w:val="0"/>
          <w:i/>
          <w:sz w:val="24"/>
        </w:rPr>
        <w:t>Nat. Catal.</w:t>
      </w:r>
      <w:r>
        <w:rPr>
          <w:rFonts w:ascii="Times New Roman" w:hAnsi="Times New Roman" w:eastAsia="宋体"/>
          <w:b w:val="0"/>
          <w:sz w:val="24"/>
        </w:rPr>
        <w:t xml:space="preserve"> 2021, 4, 1012（Ru/MnO₂）；Hao et al. </w:t>
      </w:r>
      <w:r>
        <w:rPr>
          <w:rFonts w:ascii="Times New Roman" w:hAnsi="Times New Roman" w:eastAsia="宋体"/>
          <w:b w:val="0"/>
          <w:i/>
          <w:sz w:val="24"/>
        </w:rPr>
        <w:t>Nat. Commun.</w:t>
      </w:r>
      <w:r>
        <w:rPr>
          <w:rFonts w:ascii="Times New Roman" w:hAnsi="Times New Roman" w:eastAsia="宋体"/>
          <w:b w:val="0"/>
          <w:sz w:val="24"/>
        </w:rPr>
        <w:t xml:space="preserve"> 2020, 11, 5368（W/Er-RuO₂）；以及 Cherevko 的溶解定量工作（两篇综述均未给溶出速率）。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可写进 PPT 的叙事：酸性 OER 的瓶颈不是活性而是耐久性；Ru 失效有两条通道（过氧化 + LOM）；MnO₂ 已被证明在 pH 2 下稳定 8000 h，也已被证明能与 Ru 发生阳离子交换重构令其走 OPM；故用 Ru–O–Mn 界面耦合把 Ru 从 LOM 拉回 OPM，是同时解决活性与寿命的合理设计（R1+R2）。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