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文献精读报告：Polyoxometalated metal-organic framework superstructure for stable water oxidation（多酸配位金属有机框架超结构用于稳定水氧化）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：Kaihang Yue†、Ruihu Lu†、Mingbin Gao†、Fei Song、Yao Dai、Chenfeng Xia、Bingbao Mei、Hongliang Dong、Ruijuan Qi、Daliang Zhang、Jiangwei Zhang、Ziyun Wang、Fuqiang Huang、</w:t>
      </w:r>
      <w:r>
        <w:rPr>
          <w:rFonts w:ascii="Times New Roman" w:hAnsi="Times New Roman" w:eastAsia="宋体"/>
          <w:b/>
          <w:sz w:val="24"/>
        </w:rPr>
        <w:t>Bao Yu Xia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Ya Yan</w:t>
      </w:r>
      <w:r>
        <w:rPr>
          <w:rFonts w:ascii="Times New Roman" w:hAnsi="Times New Roman" w:eastAsia="宋体"/>
          <w:b w:val="0"/>
          <w:sz w:val="24"/>
        </w:rPr>
        <w:t>（†共同一作）｜</w:t>
      </w:r>
      <w:r>
        <w:rPr>
          <w:rFonts w:ascii="Times New Roman" w:hAnsi="Times New Roman" w:eastAsia="宋体"/>
          <w:b w:val="0"/>
          <w:i/>
          <w:sz w:val="24"/>
        </w:rPr>
        <w:t>Science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>2025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388</w:t>
      </w:r>
      <w:r>
        <w:rPr>
          <w:rFonts w:ascii="Times New Roman" w:hAnsi="Times New Roman" w:eastAsia="宋体"/>
          <w:b w:val="0"/>
          <w:sz w:val="24"/>
        </w:rPr>
        <w:t>(6745), 430–436（2025-04-25 刊）｜DOI: 10.1126/science.ads1466（P7 可见）｜投稿 2024-07-31，修回 2024-12-03，接收 2025-03-12（P7）｜精读日期 2026-09-18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</w:t>
      </w:r>
      <w:r>
        <w:rPr>
          <w:rFonts w:ascii="Times New Roman" w:hAnsi="Times New Roman" w:eastAsia="宋体"/>
          <w:b w:val="0"/>
          <w:sz w:val="24"/>
        </w:rPr>
        <w:t xml:space="preserve">：R0 事实全部取自本体 OCR PDF </w:t>
      </w:r>
      <w:r>
        <w:rPr>
          <w:rFonts w:ascii="Consolas" w:hAnsi="Consolas" w:eastAsia="Consolas"/>
          <w:sz w:val="24"/>
          <w:shd w:fill="F0F0F0"/>
        </w:rPr>
        <w:t>/mnt/d/NUS311RA/FYP/正式课题/Science-3_OCR.pdf</w:t>
      </w:r>
      <w:r>
        <w:rPr>
          <w:rFonts w:ascii="Times New Roman" w:hAnsi="Times New Roman" w:eastAsia="宋体"/>
          <w:b w:val="0"/>
          <w:sz w:val="24"/>
        </w:rPr>
        <w:t>（7 页，pypdf 可提全文）。页码锚点 P1–P7 为该 PDF 物理页序，与期刊页 430–436 顺次对应（P1 = 430，P7 = 436）。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证据分级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R0</w:t>
      </w:r>
      <w:r>
        <w:rPr>
          <w:rFonts w:ascii="Times New Roman" w:hAnsi="Times New Roman" w:eastAsia="宋体"/>
          <w:b w:val="0"/>
          <w:sz w:val="24"/>
        </w:rPr>
        <w:t xml:space="preserve"> = 原文事实（附页码）｜</w:t>
      </w:r>
      <w:r>
        <w:rPr>
          <w:rFonts w:ascii="Times New Roman" w:hAnsi="Times New Roman" w:eastAsia="宋体"/>
          <w:b/>
          <w:sz w:val="24"/>
        </w:rPr>
        <w:t>R1</w:t>
      </w:r>
      <w:r>
        <w:rPr>
          <w:rFonts w:ascii="Times New Roman" w:hAnsi="Times New Roman" w:eastAsia="宋体"/>
          <w:b w:val="0"/>
          <w:sz w:val="24"/>
        </w:rPr>
        <w:t xml:space="preserve"> = 外部背景（另注出处）｜</w:t>
      </w:r>
      <w:r>
        <w:rPr>
          <w:rFonts w:ascii="Times New Roman" w:hAnsi="Times New Roman" w:eastAsia="宋体"/>
          <w:b/>
          <w:sz w:val="24"/>
        </w:rPr>
        <w:t>R2</w:t>
      </w:r>
      <w:r>
        <w:rPr>
          <w:rFonts w:ascii="Times New Roman" w:hAnsi="Times New Roman" w:eastAsia="宋体"/>
          <w:b w:val="0"/>
          <w:sz w:val="24"/>
        </w:rPr>
        <w:t xml:space="preserve"> = 本人推断，非原文结论。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先读这一句定性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本文是碱性水氧化（AEMWE，1 M KOH）工作，不是酸性 OER</w:t>
      </w:r>
      <w:r>
        <w:rPr>
          <w:rFonts w:ascii="Times New Roman" w:hAnsi="Times New Roman" w:eastAsia="宋体"/>
          <w:b w:val="0"/>
          <w:sz w:val="24"/>
        </w:rPr>
        <w:t>（P1、P3 图注）。本课题为</w:t>
      </w:r>
      <w:r>
        <w:rPr>
          <w:rFonts w:ascii="Times New Roman" w:hAnsi="Times New Roman" w:eastAsia="宋体"/>
          <w:b/>
          <w:sz w:val="24"/>
        </w:rPr>
        <w:t>酸性</w:t>
      </w:r>
      <w:r>
        <w:rPr>
          <w:rFonts w:ascii="Times New Roman" w:hAnsi="Times New Roman" w:eastAsia="宋体"/>
          <w:b w:val="0"/>
          <w:sz w:val="24"/>
        </w:rPr>
        <w:t xml:space="preserve"> OER + Ru 稳定化，介质相反，故本文价值不在"可直接外推"，而在</w:t>
      </w:r>
      <w:r>
        <w:rPr>
          <w:rFonts w:ascii="Times New Roman" w:hAnsi="Times New Roman" w:eastAsia="宋体"/>
          <w:b/>
          <w:sz w:val="24"/>
        </w:rPr>
        <w:t>"用可变价金属氧簇做电子转移载体、抑制活性位溶解"的问题框架与表征方法论</w:t>
      </w:r>
      <w:r>
        <w:rPr>
          <w:rFonts w:ascii="Times New Roman" w:hAnsi="Times New Roman" w:eastAsia="宋体"/>
          <w:b w:val="0"/>
          <w:sz w:val="24"/>
        </w:rPr>
        <w:t>（R2）。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本文报道</w:t>
      </w:r>
      <w:r>
        <w:rPr>
          <w:rFonts w:ascii="Times New Roman" w:hAnsi="Times New Roman" w:eastAsia="宋体"/>
          <w:b/>
          <w:sz w:val="24"/>
        </w:rPr>
        <w:t>接枝型超结构 MOF@POM</w:t>
      </w:r>
      <w:r>
        <w:rPr>
          <w:rFonts w:ascii="Times New Roman" w:hAnsi="Times New Roman" w:eastAsia="宋体"/>
          <w:b w:val="0"/>
          <w:sz w:val="24"/>
        </w:rPr>
        <w:t>：多酸（POM）与 MOF 自组装成超结构，经</w:t>
      </w:r>
      <w:r>
        <w:rPr>
          <w:rFonts w:ascii="Times New Roman" w:hAnsi="Times New Roman" w:eastAsia="宋体"/>
          <w:b/>
          <w:sz w:val="24"/>
        </w:rPr>
        <w:t>原位电化学重构</w:t>
      </w:r>
      <w:r>
        <w:rPr>
          <w:rFonts w:ascii="Times New Roman" w:hAnsi="Times New Roman" w:eastAsia="宋体"/>
          <w:b w:val="0"/>
          <w:sz w:val="24"/>
        </w:rPr>
        <w:t>转为单层 CoFe 羟基氧化物并</w:t>
      </w:r>
      <w:r>
        <w:rPr>
          <w:rFonts w:ascii="Times New Roman" w:hAnsi="Times New Roman" w:eastAsia="宋体"/>
          <w:b/>
          <w:sz w:val="24"/>
        </w:rPr>
        <w:t>原位接枝于 POM 上</w:t>
      </w:r>
      <w:r>
        <w:rPr>
          <w:rFonts w:ascii="Times New Roman" w:hAnsi="Times New Roman" w:eastAsia="宋体"/>
          <w:b w:val="0"/>
          <w:sz w:val="24"/>
        </w:rPr>
        <w:t>，用于碱性水氧化（P1、P2）。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核心逻辑链（R0）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结构设计</w:t>
      </w:r>
      <w:r>
        <w:rPr>
          <w:rFonts w:ascii="Times New Roman" w:hAnsi="Times New Roman" w:eastAsia="宋体"/>
          <w:b w:val="0"/>
          <w:sz w:val="24"/>
        </w:rPr>
        <w:t xml:space="preserve">：Fe³⁺/Co²⁺ 先与 1,4-苯二甲酸自配位形成层状 CoFe-MOF；同过程中对称的 PW₉-Ni 分解为三缺位 Keggin 阴离子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PW₉O₃₄]⁹⁻；随后 CoFe-MOF 借 </w:t>
      </w:r>
      <w:r>
        <w:rPr>
          <w:rFonts w:ascii="Times New Roman" w:hAnsi="Times New Roman" w:eastAsia="宋体"/>
          <w:b/>
          <w:sz w:val="24"/>
        </w:rPr>
        <w:t>Ni–O 桥</w:t>
      </w:r>
      <w:r>
        <w:rPr>
          <w:rFonts w:ascii="Times New Roman" w:hAnsi="Times New Roman" w:eastAsia="宋体"/>
          <w:b w:val="0"/>
          <w:sz w:val="24"/>
        </w:rPr>
        <w:t>与 PW₉ 重组为 MOF@POM（P1）。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原位活化</w:t>
      </w:r>
      <w:r>
        <w:rPr>
          <w:rFonts w:ascii="Times New Roman" w:hAnsi="Times New Roman" w:eastAsia="宋体"/>
          <w:b w:val="0"/>
          <w:sz w:val="24"/>
        </w:rPr>
        <w:t xml:space="preserve">：析氧电位下有机配体脱落，MOF 转为真正活性相 </w:t>
      </w:r>
      <w:r>
        <w:rPr>
          <w:rFonts w:ascii="Times New Roman" w:hAnsi="Times New Roman" w:eastAsia="宋体"/>
          <w:b/>
          <w:sz w:val="24"/>
        </w:rPr>
        <w:t>M–OOH</w:t>
      </w:r>
      <w:r>
        <w:rPr>
          <w:rFonts w:ascii="Times New Roman" w:hAnsi="Times New Roman" w:eastAsia="宋体"/>
          <w:b w:val="0"/>
          <w:sz w:val="24"/>
        </w:rPr>
        <w:t>（M = Co、Fe），而 PW₉ 骨架</w:t>
      </w:r>
      <w:r>
        <w:rPr>
          <w:rFonts w:ascii="Times New Roman" w:hAnsi="Times New Roman" w:eastAsia="宋体"/>
          <w:b/>
          <w:sz w:val="24"/>
        </w:rPr>
        <w:t>被完整保留</w:t>
      </w:r>
      <w:r>
        <w:rPr>
          <w:rFonts w:ascii="Times New Roman" w:hAnsi="Times New Roman" w:eastAsia="宋体"/>
          <w:b w:val="0"/>
          <w:sz w:val="24"/>
        </w:rPr>
        <w:t>（P4）。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稳定机制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Ni 不是活性位</w:t>
      </w:r>
      <w:r>
        <w:rPr>
          <w:rFonts w:ascii="Times New Roman" w:hAnsi="Times New Roman" w:eastAsia="宋体"/>
          <w:b w:val="0"/>
          <w:sz w:val="24"/>
        </w:rPr>
        <w:t>，而是"</w:t>
      </w:r>
      <w:r>
        <w:rPr>
          <w:rFonts w:ascii="Times New Roman" w:hAnsi="Times New Roman" w:eastAsia="宋体"/>
          <w:b/>
          <w:sz w:val="24"/>
        </w:rPr>
        <w:t>弹性形变层</w:t>
      </w:r>
      <w:r>
        <w:rPr>
          <w:rFonts w:ascii="Times New Roman" w:hAnsi="Times New Roman" w:eastAsia="宋体"/>
          <w:b w:val="0"/>
          <w:sz w:val="24"/>
        </w:rPr>
        <w:t>"缓冲重构应力；</w:t>
      </w:r>
      <w:r>
        <w:rPr>
          <w:rFonts w:ascii="Times New Roman" w:hAnsi="Times New Roman" w:eastAsia="宋体"/>
          <w:b/>
          <w:sz w:val="24"/>
        </w:rPr>
        <w:t>POM 是电子转移载体</w:t>
      </w:r>
      <w:r>
        <w:rPr>
          <w:rFonts w:ascii="Times New Roman" w:hAnsi="Times New Roman" w:eastAsia="宋体"/>
          <w:b w:val="0"/>
          <w:sz w:val="24"/>
        </w:rPr>
        <w:t>，抑制 CoFe 过氧化与溶解（P4–P6）。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一句话结论（R0）</w:t>
      </w:r>
      <w:r>
        <w:rPr>
          <w:rFonts w:ascii="Times New Roman" w:hAnsi="Times New Roman" w:eastAsia="宋体"/>
          <w:b w:val="0"/>
          <w:sz w:val="24"/>
        </w:rPr>
        <w:t xml:space="preserve">：POM 接枝把 Co₀.₅Fe₀.₅OOH 的热力学稳定电位上限从 </w:t>
      </w:r>
      <w:r>
        <w:rPr>
          <w:rFonts w:ascii="Times New Roman" w:hAnsi="Times New Roman" w:eastAsia="宋体"/>
          <w:b/>
          <w:sz w:val="24"/>
        </w:rPr>
        <w:t>1.48 V vs RHE 提升至 1.80 V vs RHE</w:t>
      </w:r>
      <w:r>
        <w:rPr>
          <w:rFonts w:ascii="Times New Roman" w:hAnsi="Times New Roman" w:eastAsia="宋体"/>
          <w:b w:val="0"/>
          <w:sz w:val="24"/>
        </w:rPr>
        <w:t xml:space="preserve">（P5），理论寿命由 </w:t>
      </w:r>
      <w:r>
        <w:rPr>
          <w:rFonts w:ascii="Times New Roman" w:hAnsi="Times New Roman" w:eastAsia="宋体"/>
          <w:b/>
          <w:sz w:val="24"/>
        </w:rPr>
        <w:t>&lt; 2000 h 延长至约 5000 h</w:t>
      </w:r>
      <w:r>
        <w:rPr>
          <w:rFonts w:ascii="Times New Roman" w:hAnsi="Times New Roman" w:eastAsia="宋体"/>
          <w:b w:val="0"/>
          <w:sz w:val="24"/>
        </w:rPr>
        <w:t>（P6），与实验衰减行为吻合（P3、P6）。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课题关联分析（与"电沉积 MnO₂ 稳定 Ru 酸性 OER"的关联）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稳定化策略同构：可变价的第二金属中心做"电荷缓冲器"（R2，基于 R0 的 P4/P6）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</w:t>
      </w:r>
      <w:r>
        <w:rPr>
          <w:rFonts w:ascii="Times New Roman" w:hAnsi="Times New Roman" w:eastAsia="宋体"/>
          <w:b/>
          <w:sz w:val="24"/>
        </w:rPr>
        <w:t>并非</w:t>
      </w:r>
      <w:r>
        <w:rPr>
          <w:rFonts w:ascii="Times New Roman" w:hAnsi="Times New Roman" w:eastAsia="宋体"/>
          <w:b w:val="0"/>
          <w:sz w:val="24"/>
        </w:rPr>
        <w:t>用惰性壳层包覆保护 CoFe，而是引入</w:t>
      </w:r>
      <w:r>
        <w:rPr>
          <w:rFonts w:ascii="Times New Roman" w:hAnsi="Times New Roman" w:eastAsia="宋体"/>
          <w:b/>
          <w:sz w:val="24"/>
        </w:rPr>
        <w:t>自身可变价的第二金属中心（POM 的 W，及桥梁 Ni）</w:t>
      </w:r>
      <w:r>
        <w:rPr>
          <w:rFonts w:ascii="Times New Roman" w:hAnsi="Times New Roman" w:eastAsia="宋体"/>
          <w:b w:val="0"/>
          <w:sz w:val="24"/>
        </w:rPr>
        <w:t>，让其可逆吞吐氧化电荷。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R0 依据：XANES 显示 Ni、W 价态升幅</w:t>
      </w:r>
      <w:r>
        <w:rPr>
          <w:rFonts w:ascii="Times New Roman" w:hAnsi="Times New Roman" w:eastAsia="宋体"/>
          <w:b/>
          <w:sz w:val="24"/>
        </w:rPr>
        <w:t>明显小于</w:t>
      </w:r>
      <w:r>
        <w:rPr>
          <w:rFonts w:ascii="Times New Roman" w:hAnsi="Times New Roman" w:eastAsia="宋体"/>
          <w:b w:val="0"/>
          <w:sz w:val="24"/>
        </w:rPr>
        <w:t xml:space="preserve"> Co/Fe，且重构后 </w:t>
      </w:r>
      <w:r>
        <w:rPr>
          <w:rFonts w:ascii="Times New Roman" w:hAnsi="Times New Roman" w:eastAsia="宋体"/>
          <w:b/>
          <w:sz w:val="24"/>
        </w:rPr>
        <w:t>Ni K-edge 移回初始位置</w:t>
      </w:r>
      <w:r>
        <w:rPr>
          <w:rFonts w:ascii="Times New Roman" w:hAnsi="Times New Roman" w:eastAsia="宋体"/>
          <w:b w:val="0"/>
          <w:sz w:val="24"/>
        </w:rPr>
        <w:t xml:space="preserve">，即 Ni </w:t>
      </w:r>
      <w:r>
        <w:rPr>
          <w:rFonts w:ascii="Times New Roman" w:hAnsi="Times New Roman" w:eastAsia="宋体"/>
          <w:b/>
          <w:sz w:val="24"/>
        </w:rPr>
        <w:t>不进入不可逆 Ni-OOH 态</w:t>
      </w:r>
      <w:r>
        <w:rPr>
          <w:rFonts w:ascii="Times New Roman" w:hAnsi="Times New Roman" w:eastAsia="宋体"/>
          <w:b w:val="0"/>
          <w:sz w:val="24"/>
        </w:rPr>
        <w:t>（P4）；DFT 电荷差分密度显示电子由 Ni 转移至 Co₀.₅Fe₀.₅OOH，</w:t>
      </w:r>
      <w:r>
        <w:rPr>
          <w:rFonts w:ascii="Times New Roman" w:hAnsi="Times New Roman" w:eastAsia="宋体"/>
          <w:b/>
          <w:sz w:val="24"/>
        </w:rPr>
        <w:t>降低 Fe、Co 电荷态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阻止其被过氧化</w:t>
      </w:r>
      <w:r>
        <w:rPr>
          <w:rFonts w:ascii="Times New Roman" w:hAnsi="Times New Roman" w:eastAsia="宋体"/>
          <w:b w:val="0"/>
          <w:sz w:val="24"/>
        </w:rPr>
        <w:t>（P6）。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映射（R2）</w:t>
      </w:r>
      <w:r>
        <w:rPr>
          <w:rFonts w:ascii="Times New Roman" w:hAnsi="Times New Roman" w:eastAsia="宋体"/>
          <w:b w:val="0"/>
          <w:sz w:val="24"/>
        </w:rPr>
        <w:t>：本课题用电沉积 MnO₂，Mn 恰是</w:t>
      </w:r>
      <w:r>
        <w:rPr>
          <w:rFonts w:ascii="Times New Roman" w:hAnsi="Times New Roman" w:eastAsia="宋体"/>
          <w:b/>
          <w:sz w:val="24"/>
        </w:rPr>
        <w:t>天然多价态氧化还原中心</w:t>
      </w:r>
      <w:r>
        <w:rPr>
          <w:rFonts w:ascii="Times New Roman" w:hAnsi="Times New Roman" w:eastAsia="宋体"/>
          <w:b w:val="0"/>
          <w:sz w:val="24"/>
        </w:rPr>
        <w:t>（Mn²⁺/Mn³⁺/Mn⁴⁺）。</w:t>
      </w:r>
      <w:r>
        <w:rPr>
          <w:rFonts w:ascii="Times New Roman" w:hAnsi="Times New Roman" w:eastAsia="宋体"/>
          <w:b/>
          <w:sz w:val="24"/>
        </w:rPr>
        <w:t>可检验假设</w:t>
      </w:r>
      <w:r>
        <w:rPr>
          <w:rFonts w:ascii="Times New Roman" w:hAnsi="Times New Roman" w:eastAsia="宋体"/>
          <w:b w:val="0"/>
          <w:sz w:val="24"/>
        </w:rPr>
        <w:t>：MnO₂ 的 Mn³⁺/Mn⁴⁺ 对能否像 POM 的 W 一样</w:t>
      </w:r>
      <w:r>
        <w:rPr>
          <w:rFonts w:ascii="Times New Roman" w:hAnsi="Times New Roman" w:eastAsia="宋体"/>
          <w:b/>
          <w:sz w:val="24"/>
        </w:rPr>
        <w:t>接收 Ru 位点的多余氧化电荷</w:t>
      </w:r>
      <w:r>
        <w:rPr>
          <w:rFonts w:ascii="Times New Roman" w:hAnsi="Times New Roman" w:eastAsia="宋体"/>
          <w:b w:val="0"/>
          <w:sz w:val="24"/>
        </w:rPr>
        <w:t>，把 Ru 钉在 Ru⁴⁺ 附近而不升至生成 RuO₄ 所需的高价态。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界面键合："Ni–O 桥"与"Ru–O–Mn 界面"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R0 依据：p-PDF 与结构模型一致表明 POM 主要经</w:t>
      </w:r>
      <w:r>
        <w:rPr>
          <w:rFonts w:ascii="Times New Roman" w:hAnsi="Times New Roman" w:eastAsia="宋体"/>
          <w:b/>
          <w:sz w:val="24"/>
        </w:rPr>
        <w:t>中间的 Ni 位点</w:t>
      </w:r>
      <w:r>
        <w:rPr>
          <w:rFonts w:ascii="Times New Roman" w:hAnsi="Times New Roman" w:eastAsia="宋体"/>
          <w:b w:val="0"/>
          <w:sz w:val="24"/>
        </w:rPr>
        <w:t>附着 MOF——Ni 连接 MOF 金属节点层与 PW₉ 的 W–O 层，并由两个 Ni 间的 Ni–O 作用进一步稳定（P2），即一个</w:t>
      </w:r>
      <w:r>
        <w:rPr>
          <w:rFonts w:ascii="Times New Roman" w:hAnsi="Times New Roman" w:eastAsia="宋体"/>
          <w:b/>
          <w:sz w:val="24"/>
        </w:rPr>
        <w:t>实验可测的异核 M–O–M 桥连结构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映射（R2）</w:t>
      </w:r>
      <w:r>
        <w:rPr>
          <w:rFonts w:ascii="Times New Roman" w:hAnsi="Times New Roman" w:eastAsia="宋体"/>
          <w:b w:val="0"/>
          <w:sz w:val="24"/>
        </w:rPr>
        <w:t xml:space="preserve">：本课题核心即 </w:t>
      </w:r>
      <w:r>
        <w:rPr>
          <w:rFonts w:ascii="Times New Roman" w:hAnsi="Times New Roman" w:eastAsia="宋体"/>
          <w:b/>
          <w:sz w:val="24"/>
        </w:rPr>
        <w:t>Ru–O–Mn 界面耦合</w:t>
      </w:r>
      <w:r>
        <w:rPr>
          <w:rFonts w:ascii="Times New Roman" w:hAnsi="Times New Roman" w:eastAsia="宋体"/>
          <w:b w:val="0"/>
          <w:sz w:val="24"/>
        </w:rPr>
        <w:t>。本文给出了</w:t>
      </w:r>
      <w:r>
        <w:rPr>
          <w:rFonts w:ascii="Times New Roman" w:hAnsi="Times New Roman" w:eastAsia="宋体"/>
          <w:b/>
          <w:sz w:val="24"/>
        </w:rPr>
        <w:t>已被验证的"以 M–O–M 桥连证明界面耦合"的表征组合</w:t>
      </w:r>
      <w:r>
        <w:rPr>
          <w:rFonts w:ascii="Times New Roman" w:hAnsi="Times New Roman" w:eastAsia="宋体"/>
          <w:b w:val="0"/>
          <w:sz w:val="24"/>
        </w:rPr>
        <w:t>（PDF/p-PDF + 异核原子对距离拟合 + XAS 配位壳层演化），可直接照搬（见第五节）。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R1 外部证据（非本文内容，但极重要）</w:t>
      </w:r>
      <w:r>
        <w:rPr>
          <w:rFonts w:ascii="Times New Roman" w:hAnsi="Times New Roman" w:eastAsia="宋体"/>
          <w:b w:val="0"/>
          <w:sz w:val="24"/>
        </w:rPr>
        <w:t xml:space="preserve">：Yan 等, </w:t>
      </w:r>
      <w:r>
        <w:rPr>
          <w:rFonts w:ascii="Times New Roman" w:hAnsi="Times New Roman" w:eastAsia="宋体"/>
          <w:b w:val="0"/>
          <w:i/>
          <w:sz w:val="24"/>
        </w:rPr>
        <w:t>Nat. Commun.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>2026</w:t>
      </w:r>
      <w:r>
        <w:rPr>
          <w:rFonts w:ascii="Times New Roman" w:hAnsi="Times New Roman" w:eastAsia="宋体"/>
          <w:b w:val="0"/>
          <w:sz w:val="24"/>
        </w:rPr>
        <w:t>, 17, 7657（DOI: 10.1038/s41467-026-74540-9）已把孤立 Ru 锚定在</w:t>
      </w:r>
      <w:r>
        <w:rPr>
          <w:rFonts w:ascii="Times New Roman" w:hAnsi="Times New Roman" w:eastAsia="宋体"/>
          <w:b/>
          <w:sz w:val="24"/>
        </w:rPr>
        <w:t>耐酸 β-MnO₂ 边缘位</w:t>
      </w:r>
      <w:r>
        <w:rPr>
          <w:rFonts w:ascii="Times New Roman" w:hAnsi="Times New Roman" w:eastAsia="宋体"/>
          <w:b w:val="0"/>
          <w:sz w:val="24"/>
        </w:rPr>
        <w:t xml:space="preserve">，命名 </w:t>
      </w:r>
      <w:r>
        <w:rPr>
          <w:rFonts w:ascii="Times New Roman" w:hAnsi="Times New Roman" w:eastAsia="宋体"/>
          <w:b/>
          <w:sz w:val="24"/>
        </w:rPr>
        <w:t>"robust Ru–O–Mn motifs"</w:t>
      </w:r>
      <w:r>
        <w:rPr>
          <w:rFonts w:ascii="Times New Roman" w:hAnsi="Times New Roman" w:eastAsia="宋体"/>
          <w:b w:val="0"/>
          <w:sz w:val="24"/>
        </w:rPr>
        <w:t xml:space="preserve">：DFT 给出 Ru 溶解能 </w:t>
      </w:r>
      <w:r>
        <w:rPr>
          <w:rFonts w:ascii="Times New Roman" w:hAnsi="Times New Roman" w:eastAsia="宋体"/>
          <w:b/>
          <w:sz w:val="24"/>
        </w:rPr>
        <w:t>2.06 eV</w:t>
      </w:r>
      <w:r>
        <w:rPr>
          <w:rFonts w:ascii="Times New Roman" w:hAnsi="Times New Roman" w:eastAsia="宋体"/>
          <w:b w:val="0"/>
          <w:sz w:val="24"/>
        </w:rPr>
        <w:t xml:space="preserve">（RuO₂(110) 仅 </w:t>
      </w:r>
      <w:r>
        <w:rPr>
          <w:rFonts w:ascii="Times New Roman" w:hAnsi="Times New Roman" w:eastAsia="宋体"/>
          <w:b/>
          <w:sz w:val="24"/>
        </w:rPr>
        <w:t>1.67 eV</w:t>
      </w:r>
      <w:r>
        <w:rPr>
          <w:rFonts w:ascii="Times New Roman" w:hAnsi="Times New Roman" w:eastAsia="宋体"/>
          <w:b w:val="0"/>
          <w:sz w:val="24"/>
        </w:rPr>
        <w:t xml:space="preserve">），质量活性为 RuO₂ 的 </w:t>
      </w:r>
      <w:r>
        <w:rPr>
          <w:rFonts w:ascii="Times New Roman" w:hAnsi="Times New Roman" w:eastAsia="宋体"/>
          <w:b/>
          <w:sz w:val="24"/>
        </w:rPr>
        <w:t>223 倍</w:t>
      </w:r>
      <w:r>
        <w:rPr>
          <w:rFonts w:ascii="Times New Roman" w:hAnsi="Times New Roman" w:eastAsia="宋体"/>
          <w:b w:val="0"/>
          <w:sz w:val="24"/>
        </w:rPr>
        <w:t>，S-number 提升</w:t>
      </w:r>
      <w:r>
        <w:rPr>
          <w:rFonts w:ascii="Times New Roman" w:hAnsi="Times New Roman" w:eastAsia="宋体"/>
          <w:b/>
          <w:sz w:val="24"/>
        </w:rPr>
        <w:t>三个数量级</w:t>
      </w:r>
      <w:r>
        <w:rPr>
          <w:rFonts w:ascii="Times New Roman" w:hAnsi="Times New Roman" w:eastAsia="宋体"/>
          <w:b w:val="0"/>
          <w:sz w:val="24"/>
        </w:rPr>
        <w:t xml:space="preserve">，PEMWE 中 </w:t>
      </w:r>
      <w:r>
        <w:rPr>
          <w:rFonts w:ascii="Times New Roman" w:hAnsi="Times New Roman" w:eastAsia="宋体"/>
          <w:b/>
          <w:sz w:val="24"/>
        </w:rPr>
        <w:t>1 A cm⁻² 稳定超 1000 h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/>
          <w:sz w:val="24"/>
        </w:rPr>
        <w:t>这既是最强先例支撑，也是最大的新颖性挤压点</w:t>
      </w:r>
      <w:r>
        <w:rPr>
          <w:rFonts w:ascii="Times New Roman" w:hAnsi="Times New Roman" w:eastAsia="宋体"/>
          <w:b w:val="0"/>
          <w:sz w:val="24"/>
        </w:rPr>
        <w:t>（差异化见六.4）。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结构保护层："原位生成"优于"预先包覆"（R2）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R0 依据：活性相</w:t>
      </w:r>
      <w:r>
        <w:rPr>
          <w:rFonts w:ascii="Times New Roman" w:hAnsi="Times New Roman" w:eastAsia="宋体"/>
          <w:b/>
          <w:sz w:val="24"/>
        </w:rPr>
        <w:t>不是</w:t>
      </w:r>
      <w:r>
        <w:rPr>
          <w:rFonts w:ascii="Times New Roman" w:hAnsi="Times New Roman" w:eastAsia="宋体"/>
          <w:b w:val="0"/>
          <w:sz w:val="24"/>
        </w:rPr>
        <w:t>预合成的，而是</w:t>
      </w:r>
      <w:r>
        <w:rPr>
          <w:rFonts w:ascii="Times New Roman" w:hAnsi="Times New Roman" w:eastAsia="宋体"/>
          <w:b/>
          <w:sz w:val="24"/>
        </w:rPr>
        <w:t>析氧电位下原位生成</w:t>
      </w:r>
      <w:r>
        <w:rPr>
          <w:rFonts w:ascii="Times New Roman" w:hAnsi="Times New Roman" w:eastAsia="宋体"/>
          <w:b w:val="0"/>
          <w:sz w:val="24"/>
        </w:rPr>
        <w:t>：原位拉曼显示有机组分特征峰（1611、1422、633、376 cm⁻¹）随电位升高减弱，</w:t>
      </w:r>
      <w:r>
        <w:rPr>
          <w:rFonts w:ascii="Times New Roman" w:hAnsi="Times New Roman" w:eastAsia="宋体"/>
          <w:b/>
          <w:sz w:val="24"/>
        </w:rPr>
        <w:t>1.53 V vs RHE 时几乎消失</w:t>
      </w:r>
      <w:r>
        <w:rPr>
          <w:rFonts w:ascii="Times New Roman" w:hAnsi="Times New Roman" w:eastAsia="宋体"/>
          <w:b w:val="0"/>
          <w:sz w:val="24"/>
        </w:rPr>
        <w:t>，同时出现羟基氧化物新峰（540–465 cm⁻¹）；纯 MOF 需在 1.63 V vs RHE 下约 5 min 才完成转变（P4）。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映射（R2）</w:t>
      </w:r>
      <w:r>
        <w:rPr>
          <w:rFonts w:ascii="Times New Roman" w:hAnsi="Times New Roman" w:eastAsia="宋体"/>
          <w:b w:val="0"/>
          <w:sz w:val="24"/>
        </w:rPr>
        <w:t>：电沉积 MnO₂ 同样</w:t>
      </w:r>
      <w:r>
        <w:rPr>
          <w:rFonts w:ascii="Times New Roman" w:hAnsi="Times New Roman" w:eastAsia="宋体"/>
          <w:b/>
          <w:sz w:val="24"/>
        </w:rPr>
        <w:t>电化学原位生成</w:t>
      </w:r>
      <w:r>
        <w:rPr>
          <w:rFonts w:ascii="Times New Roman" w:hAnsi="Times New Roman" w:eastAsia="宋体"/>
          <w:b w:val="0"/>
          <w:sz w:val="24"/>
        </w:rPr>
        <w:t>。本文提示：</w:t>
      </w:r>
      <w:r>
        <w:rPr>
          <w:rFonts w:ascii="Times New Roman" w:hAnsi="Times New Roman" w:eastAsia="宋体"/>
          <w:b/>
          <w:sz w:val="24"/>
        </w:rPr>
        <w:t>保护层最好与活性相在同一电位窗口内原位形成</w:t>
      </w:r>
      <w:r>
        <w:rPr>
          <w:rFonts w:ascii="Times New Roman" w:hAnsi="Times New Roman" w:eastAsia="宋体"/>
          <w:b w:val="0"/>
          <w:sz w:val="24"/>
        </w:rPr>
        <w:t>，使界面是"焊"在一起的而非机械堆叠。</w:t>
      </w:r>
      <w:r>
        <w:rPr>
          <w:rFonts w:ascii="Times New Roman" w:hAnsi="Times New Roman" w:eastAsia="宋体"/>
          <w:b/>
          <w:sz w:val="24"/>
        </w:rPr>
        <w:t>可检验假设</w:t>
      </w:r>
      <w:r>
        <w:rPr>
          <w:rFonts w:ascii="Times New Roman" w:hAnsi="Times New Roman" w:eastAsia="宋体"/>
          <w:b w:val="0"/>
          <w:sz w:val="24"/>
        </w:rPr>
        <w:t>：在含 Mn²⁺ 与 Ru³⁺ 的混合浴中共沉积，能否在 OER 电位区间自发形成"Ru 核 + MnOₓ 壳/界面"的自适应结构？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2.4 介质差异带来的警示（R2，应写入 pre 的"局限"）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本文稳定机制</w:t>
      </w:r>
      <w:r>
        <w:rPr>
          <w:rFonts w:ascii="Times New Roman" w:hAnsi="Times New Roman" w:eastAsia="宋体"/>
          <w:b/>
          <w:sz w:val="24"/>
        </w:rPr>
        <w:t>依赖碱性</w:t>
      </w:r>
      <w:r>
        <w:rPr>
          <w:rFonts w:ascii="Times New Roman" w:hAnsi="Times New Roman" w:eastAsia="宋体"/>
          <w:b w:val="0"/>
          <w:sz w:val="24"/>
        </w:rPr>
        <w:t xml:space="preserve">（1 M KOH，P3 图注），而酸性下 Ru 失稳主导通道为 </w:t>
      </w:r>
      <w:r>
        <w:rPr>
          <w:rFonts w:ascii="Times New Roman" w:hAnsi="Times New Roman" w:eastAsia="宋体"/>
          <w:b/>
          <w:sz w:val="24"/>
        </w:rPr>
        <w:t>RuO₄ 溶出</w:t>
      </w:r>
      <w:r>
        <w:rPr>
          <w:rFonts w:ascii="Times New Roman" w:hAnsi="Times New Roman" w:eastAsia="宋体"/>
          <w:b w:val="0"/>
          <w:sz w:val="24"/>
        </w:rPr>
        <w:t>（R1），机理根本不同，</w:t>
      </w:r>
      <w:r>
        <w:rPr>
          <w:rFonts w:ascii="Times New Roman" w:hAnsi="Times New Roman" w:eastAsia="宋体"/>
          <w:b/>
          <w:sz w:val="24"/>
        </w:rPr>
        <w:t>稳定化幅度不可外推</w:t>
      </w:r>
      <w:r>
        <w:rPr>
          <w:rFonts w:ascii="Times New Roman" w:hAnsi="Times New Roman" w:eastAsia="宋体"/>
          <w:b w:val="0"/>
          <w:sz w:val="24"/>
        </w:rPr>
        <w:t>；本文"稳定"判据是</w:t>
      </w:r>
      <w:r>
        <w:rPr>
          <w:rFonts w:ascii="Times New Roman" w:hAnsi="Times New Roman" w:eastAsia="宋体"/>
          <w:b/>
          <w:sz w:val="24"/>
        </w:rPr>
        <w:t>衰减速率</w:t>
      </w:r>
      <w:r>
        <w:rPr>
          <w:rFonts w:ascii="Times New Roman" w:hAnsi="Times New Roman" w:eastAsia="宋体"/>
          <w:b w:val="0"/>
          <w:sz w:val="24"/>
        </w:rPr>
        <w:t xml:space="preserve">而非溶出速率（P3），酸性 Ru 体系须补 </w:t>
      </w:r>
      <w:r>
        <w:rPr>
          <w:rFonts w:ascii="Times New Roman" w:hAnsi="Times New Roman" w:eastAsia="宋体"/>
          <w:b/>
          <w:sz w:val="24"/>
        </w:rPr>
        <w:t>ICP-MS 溶出 + S-number</w:t>
      </w:r>
      <w:r>
        <w:rPr>
          <w:rFonts w:ascii="Times New Roman" w:hAnsi="Times New Roman" w:eastAsia="宋体"/>
          <w:b w:val="0"/>
          <w:sz w:val="24"/>
        </w:rPr>
        <w:t xml:space="preserve">；其 DFT 稳定窗口在 </w:t>
      </w:r>
      <w:r>
        <w:rPr>
          <w:rFonts w:ascii="Times New Roman" w:hAnsi="Times New Roman" w:eastAsia="宋体"/>
          <w:b/>
          <w:sz w:val="24"/>
        </w:rPr>
        <w:t>pH 14</w:t>
      </w:r>
      <w:r>
        <w:rPr>
          <w:rFonts w:ascii="Times New Roman" w:hAnsi="Times New Roman" w:eastAsia="宋体"/>
          <w:b w:val="0"/>
          <w:sz w:val="24"/>
        </w:rPr>
        <w:t xml:space="preserve"> 下算得（P5），外推至 pH 0 须重算 Pourbaix 图，</w:t>
      </w:r>
      <w:r>
        <w:rPr>
          <w:rFonts w:ascii="Times New Roman" w:hAnsi="Times New Roman" w:eastAsia="宋体"/>
          <w:b/>
          <w:sz w:val="24"/>
        </w:rPr>
        <w:t>数值不可直接引用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内容深度解读（含关键数据，R0 页码）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3.1 合成与结构（P1–P2）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双模板自组装</w:t>
      </w:r>
      <w:r>
        <w:rPr>
          <w:rFonts w:ascii="Times New Roman" w:hAnsi="Times New Roman" w:eastAsia="宋体"/>
          <w:b w:val="0"/>
          <w:sz w:val="24"/>
        </w:rPr>
        <w:t xml:space="preserve">：PW₉-Ni 分解为三缺位 Keggin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PW₉O₃₄]⁹⁻，再与 CoFe-MOF 经 Ni–O 桥重组；AIMD 支持该组装过程（P1）。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形貌与厚度</w:t>
      </w:r>
      <w:r>
        <w:rPr>
          <w:rFonts w:ascii="Times New Roman" w:hAnsi="Times New Roman" w:eastAsia="宋体"/>
          <w:b w:val="0"/>
          <w:sz w:val="24"/>
        </w:rPr>
        <w:t>：SEM 呈</w:t>
      </w:r>
      <w:r>
        <w:rPr>
          <w:rFonts w:ascii="Times New Roman" w:hAnsi="Times New Roman" w:eastAsia="宋体"/>
          <w:b/>
          <w:sz w:val="24"/>
        </w:rPr>
        <w:t>花瓣状</w:t>
      </w:r>
      <w:r>
        <w:rPr>
          <w:rFonts w:ascii="Times New Roman" w:hAnsi="Times New Roman" w:eastAsia="宋体"/>
          <w:b w:val="0"/>
          <w:sz w:val="24"/>
        </w:rPr>
        <w:t xml:space="preserve">，比纯 MOF 更均匀有序；AFM 单层厚度 </w:t>
      </w:r>
      <w:r>
        <w:rPr>
          <w:rFonts w:ascii="Times New Roman" w:hAnsi="Times New Roman" w:eastAsia="宋体"/>
          <w:b/>
          <w:sz w:val="24"/>
        </w:rPr>
        <w:t>3.54 ± 0.18 nm</w:t>
      </w:r>
      <w:r>
        <w:rPr>
          <w:rFonts w:ascii="Times New Roman" w:hAnsi="Times New Roman" w:eastAsia="宋体"/>
          <w:b w:val="0"/>
          <w:sz w:val="24"/>
        </w:rPr>
        <w:t xml:space="preserve">，纯 MOF 为 </w:t>
      </w:r>
      <w:r>
        <w:rPr>
          <w:rFonts w:ascii="Times New Roman" w:hAnsi="Times New Roman" w:eastAsia="宋体"/>
          <w:b/>
          <w:sz w:val="24"/>
        </w:rPr>
        <w:t>1.73 ± 0.17 nm</w:t>
      </w:r>
      <w:r>
        <w:rPr>
          <w:rFonts w:ascii="Times New Roman" w:hAnsi="Times New Roman" w:eastAsia="宋体"/>
          <w:b w:val="0"/>
          <w:sz w:val="24"/>
        </w:rPr>
        <w:t>，差值即 POM 接枝贡献（P1）。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晶体学</w:t>
      </w:r>
      <w:r>
        <w:rPr>
          <w:rFonts w:ascii="Times New Roman" w:hAnsi="Times New Roman" w:eastAsia="宋体"/>
          <w:b w:val="0"/>
          <w:sz w:val="24"/>
        </w:rPr>
        <w:t xml:space="preserve">：球差 HRTEM + SAED 给出晶面间距 </w:t>
      </w:r>
      <w:r>
        <w:rPr>
          <w:rFonts w:ascii="Times New Roman" w:hAnsi="Times New Roman" w:eastAsia="宋体"/>
          <w:b/>
          <w:sz w:val="24"/>
        </w:rPr>
        <w:t>0.63 nm</w:t>
      </w:r>
      <w:r>
        <w:rPr>
          <w:rFonts w:ascii="Times New Roman" w:hAnsi="Times New Roman" w:eastAsia="宋体"/>
          <w:b w:val="0"/>
          <w:sz w:val="24"/>
        </w:rPr>
        <w:t>；XRD 确认 MIL-53 型 MOF 的 (200)、(001) 面（P1）。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超结构精修（关键）</w:t>
      </w:r>
      <w:r>
        <w:rPr>
          <w:rFonts w:ascii="Times New Roman" w:hAnsi="Times New Roman" w:eastAsia="宋体"/>
          <w:b w:val="0"/>
          <w:sz w:val="24"/>
        </w:rPr>
        <w:t xml:space="preserve">：全谱同步辐射 PDF 拟合 </w:t>
      </w:r>
      <w:r>
        <w:rPr>
          <w:rFonts w:ascii="Times New Roman" w:hAnsi="Times New Roman" w:eastAsia="宋体"/>
          <w:b/>
          <w:sz w:val="24"/>
        </w:rPr>
        <w:t>R² = 0.88</w:t>
      </w:r>
      <w:r>
        <w:rPr>
          <w:rFonts w:ascii="Times New Roman" w:hAnsi="Times New Roman" w:eastAsia="宋体"/>
          <w:b w:val="0"/>
          <w:sz w:val="24"/>
        </w:rPr>
        <w:t xml:space="preserve">；三斜 </w:t>
      </w:r>
      <w:r>
        <w:rPr>
          <w:rFonts w:ascii="Times New Roman" w:hAnsi="Times New Roman" w:eastAsia="宋体"/>
          <w:b w:val="0"/>
          <w:i/>
          <w:sz w:val="24"/>
        </w:rPr>
        <w:t>P</w:t>
      </w:r>
      <w:r>
        <w:rPr>
          <w:rFonts w:ascii="Times New Roman" w:hAnsi="Times New Roman" w:eastAsia="宋体"/>
          <w:b w:val="0"/>
          <w:sz w:val="24"/>
        </w:rPr>
        <w:t>-1 (No. 1)；</w:t>
      </w:r>
      <w:r>
        <w:rPr>
          <w:rFonts w:ascii="Times New Roman" w:hAnsi="Times New Roman" w:eastAsia="宋体"/>
          <w:b/>
          <w:sz w:val="24"/>
        </w:rPr>
        <w:t>a = 15.88, b = 24.86, c = 39.78 Å；α = 93.86°, β = 86.18°, γ = 96.98°；V = 15525.37 Å³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/>
          <w:sz w:val="24"/>
        </w:rPr>
        <w:t>reduced χ² = 0.0587, R_w = 0.0598</w:t>
      </w:r>
      <w:r>
        <w:rPr>
          <w:rFonts w:ascii="Times New Roman" w:hAnsi="Times New Roman" w:eastAsia="宋体"/>
          <w:b w:val="0"/>
          <w:sz w:val="24"/>
        </w:rPr>
        <w:t>（P2 图 1E）；O–W 对在峰 1–16 上重复出现，证明</w:t>
      </w:r>
      <w:r>
        <w:rPr>
          <w:rFonts w:ascii="Times New Roman" w:hAnsi="Times New Roman" w:eastAsia="宋体"/>
          <w:b/>
          <w:sz w:val="24"/>
        </w:rPr>
        <w:t>长程有序</w:t>
      </w:r>
      <w:r>
        <w:rPr>
          <w:rFonts w:ascii="Times New Roman" w:hAnsi="Times New Roman" w:eastAsia="宋体"/>
          <w:b w:val="0"/>
          <w:sz w:val="24"/>
        </w:rPr>
        <w:t>（P2）。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界面键合定位</w:t>
      </w:r>
      <w:r>
        <w:rPr>
          <w:rFonts w:ascii="Times New Roman" w:hAnsi="Times New Roman" w:eastAsia="宋体"/>
          <w:b w:val="0"/>
          <w:sz w:val="24"/>
        </w:rPr>
        <w:t xml:space="preserve">：p-PDF 的 </w:t>
      </w:r>
      <w:r>
        <w:rPr>
          <w:rFonts w:ascii="Times New Roman" w:hAnsi="Times New Roman" w:eastAsia="宋体"/>
          <w:b/>
          <w:sz w:val="24"/>
        </w:rPr>
        <w:t>Ni–Fe 距离</w:t>
      </w:r>
      <w:r>
        <w:rPr>
          <w:rFonts w:ascii="Times New Roman" w:hAnsi="Times New Roman" w:eastAsia="宋体"/>
          <w:b w:val="0"/>
          <w:sz w:val="24"/>
        </w:rPr>
        <w:t>与模型高度吻合，据此判定 POM 主要</w:t>
      </w:r>
      <w:r>
        <w:rPr>
          <w:rFonts w:ascii="Times New Roman" w:hAnsi="Times New Roman" w:eastAsia="宋体"/>
          <w:b/>
          <w:sz w:val="24"/>
        </w:rPr>
        <w:t>经 Ni 位点</w:t>
      </w:r>
      <w:r>
        <w:rPr>
          <w:rFonts w:ascii="Times New Roman" w:hAnsi="Times New Roman" w:eastAsia="宋体"/>
          <w:b w:val="0"/>
          <w:sz w:val="24"/>
        </w:rPr>
        <w:t>附着 MOF（P2）。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3.2 碱性水氧化性能（P2–P3）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01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MOF@POM</w:t>
            </w:r>
          </w:p>
        </w:tc>
        <w:tc>
          <w:tcPr>
            <w:tcW w:type="dxa" w:w="80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纯 MOF</w:t>
            </w:r>
          </w:p>
        </w:tc>
        <w:tc>
          <w:tcPr>
            <w:tcW w:type="dxa" w:w="107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CoFe-LDH</w:t>
            </w:r>
          </w:p>
        </w:tc>
        <w:tc>
          <w:tcPr>
            <w:tcW w:type="dxa" w:w="107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NiFe-LDH</w:t>
            </w:r>
          </w:p>
        </w:tc>
        <w:tc>
          <w:tcPr>
            <w:tcW w:type="dxa" w:w="67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页码</w:t>
            </w:r>
          </w:p>
        </w:tc>
      </w:tr>
      <w:tr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η @ 10 mA cm⁻²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178 mV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203 mV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250 mV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220 mV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P2</w:t>
            </w:r>
          </w:p>
        </w:tc>
      </w:tr>
      <w:tr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Tafel 斜率 (mV dec⁻¹)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27.7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37.0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42.9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45.5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P2</w:t>
            </w:r>
          </w:p>
        </w:tc>
      </w:tr>
      <w:tr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TOF(Co+Fe) @ η=200 mV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78×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于纯 MOF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1×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P2</w:t>
            </w:r>
          </w:p>
        </w:tc>
      </w:tr>
      <w:tr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质量活性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&gt;7×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于纯 MOF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1×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type="dxa" w:w="1411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P2</w:t>
            </w:r>
          </w:p>
        </w:tc>
      </w:tr>
    </w:tbl>
    <w:p/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三电极</w:t>
      </w:r>
      <w:r>
        <w:rPr>
          <w:rFonts w:ascii="Times New Roman" w:hAnsi="Times New Roman" w:eastAsia="宋体"/>
          <w:b w:val="0"/>
          <w:sz w:val="24"/>
        </w:rPr>
        <w:t xml:space="preserve">：100 mA cm⁻² 下 </w:t>
      </w:r>
      <w:r>
        <w:rPr>
          <w:rFonts w:ascii="Times New Roman" w:hAnsi="Times New Roman" w:eastAsia="宋体"/>
          <w:b/>
          <w:sz w:val="24"/>
        </w:rPr>
        <w:t>1000 h 几乎无衰减</w:t>
      </w:r>
      <w:r>
        <w:rPr>
          <w:rFonts w:ascii="Times New Roman" w:hAnsi="Times New Roman" w:eastAsia="宋体"/>
          <w:b w:val="0"/>
          <w:sz w:val="24"/>
        </w:rPr>
        <w:t>（P2）。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AEMWE</w:t>
      </w:r>
      <w:r>
        <w:rPr>
          <w:rFonts w:ascii="Times New Roman" w:hAnsi="Times New Roman" w:eastAsia="宋体"/>
          <w:b w:val="0"/>
          <w:sz w:val="24"/>
        </w:rPr>
        <w:t xml:space="preserve">：25 °C 下 1 A cm⁻² 仅需 </w:t>
      </w:r>
      <w:r>
        <w:rPr>
          <w:rFonts w:ascii="Times New Roman" w:hAnsi="Times New Roman" w:eastAsia="宋体"/>
          <w:b/>
          <w:sz w:val="24"/>
        </w:rPr>
        <w:t>1.83 V</w:t>
      </w:r>
      <w:r>
        <w:rPr>
          <w:rFonts w:ascii="Times New Roman" w:hAnsi="Times New Roman" w:eastAsia="宋体"/>
          <w:b w:val="0"/>
          <w:sz w:val="24"/>
        </w:rPr>
        <w:t xml:space="preserve">（纯 MOF 1.97 V）（P2）；80 °C 下 2 A cm⁻² 需 </w:t>
      </w:r>
      <w:r>
        <w:rPr>
          <w:rFonts w:ascii="Times New Roman" w:hAnsi="Times New Roman" w:eastAsia="宋体"/>
          <w:b/>
          <w:sz w:val="24"/>
        </w:rPr>
        <w:t>1.69 V</w:t>
      </w:r>
      <w:r>
        <w:rPr>
          <w:rFonts w:ascii="Times New Roman" w:hAnsi="Times New Roman" w:eastAsia="宋体"/>
          <w:b w:val="0"/>
          <w:sz w:val="24"/>
        </w:rPr>
        <w:t xml:space="preserve">，能耗 </w:t>
      </w:r>
      <w:r>
        <w:rPr>
          <w:rFonts w:ascii="Times New Roman" w:hAnsi="Times New Roman" w:eastAsia="宋体"/>
          <w:b/>
          <w:sz w:val="24"/>
        </w:rPr>
        <w:t>4.04 kWh Nm⁻³ H₂</w:t>
      </w:r>
      <w:r>
        <w:rPr>
          <w:rFonts w:ascii="Times New Roman" w:hAnsi="Times New Roman" w:eastAsia="宋体"/>
          <w:b w:val="0"/>
          <w:sz w:val="24"/>
        </w:rPr>
        <w:t xml:space="preserve">，2.0 V 时 </w:t>
      </w:r>
      <w:r>
        <w:rPr>
          <w:rFonts w:ascii="Times New Roman" w:hAnsi="Times New Roman" w:eastAsia="宋体"/>
          <w:b/>
          <w:sz w:val="24"/>
        </w:rPr>
        <w:t>&gt;5.5 A cm⁻²</w:t>
      </w:r>
      <w:r>
        <w:rPr>
          <w:rFonts w:ascii="Times New Roman" w:hAnsi="Times New Roman" w:eastAsia="宋体"/>
          <w:b w:val="0"/>
          <w:sz w:val="24"/>
        </w:rPr>
        <w:t>（P3）；</w:t>
      </w:r>
      <w:r>
        <w:rPr>
          <w:rFonts w:ascii="Times New Roman" w:hAnsi="Times New Roman" w:eastAsia="宋体"/>
          <w:b/>
          <w:sz w:val="24"/>
        </w:rPr>
        <w:t>1.78 V 达 3 A cm⁻²，超过 DOE 面向 2035 的 AEM 指标（1.8 V @ 3 A cm⁻²）</w:t>
      </w:r>
      <w:r>
        <w:rPr>
          <w:rFonts w:ascii="Times New Roman" w:hAnsi="Times New Roman" w:eastAsia="宋体"/>
          <w:b w:val="0"/>
          <w:sz w:val="24"/>
        </w:rPr>
        <w:t>（P1、P3）。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长时稳定性</w:t>
      </w:r>
      <w:r>
        <w:rPr>
          <w:rFonts w:ascii="Times New Roman" w:hAnsi="Times New Roman" w:eastAsia="宋体"/>
          <w:b w:val="0"/>
          <w:sz w:val="24"/>
        </w:rPr>
        <w:t xml:space="preserve">：1 A cm⁻² 运行 2000 h 衰减率仅 </w:t>
      </w:r>
      <w:r>
        <w:rPr>
          <w:rFonts w:ascii="Times New Roman" w:hAnsi="Times New Roman" w:eastAsia="宋体"/>
          <w:b/>
          <w:sz w:val="24"/>
        </w:rPr>
        <w:t>0.015 mV h⁻¹</w:t>
      </w:r>
      <w:r>
        <w:rPr>
          <w:rFonts w:ascii="Times New Roman" w:hAnsi="Times New Roman" w:eastAsia="宋体"/>
          <w:b w:val="0"/>
          <w:sz w:val="24"/>
        </w:rPr>
        <w:t xml:space="preserve">（达 DOE 2025 指标），而纯 MOF 前 300 h 已达约 </w:t>
      </w:r>
      <w:r>
        <w:rPr>
          <w:rFonts w:ascii="Times New Roman" w:hAnsi="Times New Roman" w:eastAsia="宋体"/>
          <w:b/>
          <w:sz w:val="24"/>
        </w:rPr>
        <w:t>1 mV h⁻¹</w:t>
      </w:r>
      <w:r>
        <w:rPr>
          <w:rFonts w:ascii="Times New Roman" w:hAnsi="Times New Roman" w:eastAsia="宋体"/>
          <w:b w:val="0"/>
          <w:sz w:val="24"/>
        </w:rPr>
        <w:t xml:space="preserve"> 并恶化至 </w:t>
      </w:r>
      <w:r>
        <w:rPr>
          <w:rFonts w:ascii="Times New Roman" w:hAnsi="Times New Roman" w:eastAsia="宋体"/>
          <w:b/>
          <w:sz w:val="24"/>
        </w:rPr>
        <w:t>&gt;4 mV h⁻¹</w:t>
      </w:r>
      <w:r>
        <w:rPr>
          <w:rFonts w:ascii="Times New Roman" w:hAnsi="Times New Roman" w:eastAsia="宋体"/>
          <w:b w:val="0"/>
          <w:sz w:val="24"/>
        </w:rPr>
        <w:t>（P3）；25 °C、2 A cm⁻² 下</w:t>
      </w:r>
      <w:r>
        <w:rPr>
          <w:rFonts w:ascii="Times New Roman" w:hAnsi="Times New Roman" w:eastAsia="宋体"/>
          <w:b/>
          <w:sz w:val="24"/>
        </w:rPr>
        <w:t>连续 5140 h，衰减率 0.02 mV h⁻¹</w:t>
      </w:r>
      <w:r>
        <w:rPr>
          <w:rFonts w:ascii="Times New Roman" w:hAnsi="Times New Roman" w:eastAsia="宋体"/>
          <w:b w:val="0"/>
          <w:sz w:val="24"/>
        </w:rPr>
        <w:t>（P1、P3）；另在 3、5、10 A cm⁻² 下分别稳定 3000、500、200 h（P3）。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衰减模式判据（方法论亮点）</w:t>
      </w:r>
      <w:r>
        <w:rPr>
          <w:rFonts w:ascii="Times New Roman" w:hAnsi="Times New Roman" w:eastAsia="宋体"/>
          <w:b w:val="0"/>
          <w:sz w:val="24"/>
        </w:rPr>
        <w:t>：≤5 A cm⁻² 为</w:t>
      </w:r>
      <w:r>
        <w:rPr>
          <w:rFonts w:ascii="Times New Roman" w:hAnsi="Times New Roman" w:eastAsia="宋体"/>
          <w:b/>
          <w:sz w:val="24"/>
        </w:rPr>
        <w:t>线性衰减</w:t>
      </w:r>
      <w:r>
        <w:rPr>
          <w:rFonts w:ascii="Times New Roman" w:hAnsi="Times New Roman" w:eastAsia="宋体"/>
          <w:b w:val="0"/>
          <w:sz w:val="24"/>
        </w:rPr>
        <w:t>（y = 0.0067x + 0.00752，R² ≈ 0.96），10 A cm⁻² 转为</w:t>
      </w:r>
      <w:r>
        <w:rPr>
          <w:rFonts w:ascii="Times New Roman" w:hAnsi="Times New Roman" w:eastAsia="宋体"/>
          <w:b/>
          <w:sz w:val="24"/>
        </w:rPr>
        <w:t>指数衰减</w:t>
      </w:r>
      <w:r>
        <w:rPr>
          <w:rFonts w:ascii="Times New Roman" w:hAnsi="Times New Roman" w:eastAsia="宋体"/>
          <w:b w:val="0"/>
          <w:sz w:val="24"/>
        </w:rPr>
        <w:t>（R² ≈ 0.99）；据此提出"</w:t>
      </w:r>
      <w:r>
        <w:rPr>
          <w:rFonts w:ascii="Times New Roman" w:hAnsi="Times New Roman" w:eastAsia="宋体"/>
          <w:b/>
          <w:sz w:val="24"/>
        </w:rPr>
        <w:t>结构稳定者线性衰减、结构失稳者指数衰减</w:t>
      </w:r>
      <w:r>
        <w:rPr>
          <w:rFonts w:ascii="Times New Roman" w:hAnsi="Times New Roman" w:eastAsia="宋体"/>
          <w:b w:val="0"/>
          <w:sz w:val="24"/>
        </w:rPr>
        <w:t>"的判别（P3）。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抗溶出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S-number</w:t>
      </w:r>
      <w:r>
        <w:rPr>
          <w:rFonts w:ascii="Times New Roman" w:hAnsi="Times New Roman" w:eastAsia="宋体"/>
          <w:b w:val="0"/>
          <w:sz w:val="24"/>
        </w:rPr>
        <w:t xml:space="preserve"> 最高，</w:t>
      </w:r>
      <w:r>
        <w:rPr>
          <w:rFonts w:ascii="Times New Roman" w:hAnsi="Times New Roman" w:eastAsia="宋体"/>
          <w:b/>
          <w:sz w:val="24"/>
        </w:rPr>
        <w:t>活性-稳定性因子</w:t>
      </w:r>
      <w:r>
        <w:rPr>
          <w:rFonts w:ascii="Times New Roman" w:hAnsi="Times New Roman" w:eastAsia="宋体"/>
          <w:b w:val="0"/>
          <w:sz w:val="24"/>
        </w:rPr>
        <w:t xml:space="preserve">比纯 MOF、CoFe-LDH、NiFe-LDH </w:t>
      </w:r>
      <w:r>
        <w:rPr>
          <w:rFonts w:ascii="Times New Roman" w:hAnsi="Times New Roman" w:eastAsia="宋体"/>
          <w:b/>
          <w:sz w:val="24"/>
        </w:rPr>
        <w:t>高近一个数量级</w:t>
      </w:r>
      <w:r>
        <w:rPr>
          <w:rFonts w:ascii="Times New Roman" w:hAnsi="Times New Roman" w:eastAsia="宋体"/>
          <w:b w:val="0"/>
          <w:sz w:val="24"/>
        </w:rPr>
        <w:t>（P3）。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TEA</w:t>
      </w:r>
      <w:r>
        <w:rPr>
          <w:rFonts w:ascii="Times New Roman" w:hAnsi="Times New Roman" w:eastAsia="宋体"/>
          <w:b w:val="0"/>
          <w:sz w:val="24"/>
        </w:rPr>
        <w:t xml:space="preserve">：100 m² AEMWE、2 A cm⁻²、10 年寿命下 </w:t>
      </w:r>
      <w:r>
        <w:rPr>
          <w:rFonts w:ascii="Times New Roman" w:hAnsi="Times New Roman" w:eastAsia="宋体"/>
          <w:b/>
          <w:sz w:val="24"/>
        </w:rPr>
        <w:t>LCOH = 2.324 US$ kg⁻¹ H₂</w:t>
      </w:r>
      <w:r>
        <w:rPr>
          <w:rFonts w:ascii="Times New Roman" w:hAnsi="Times New Roman" w:eastAsia="宋体"/>
          <w:b w:val="0"/>
          <w:sz w:val="24"/>
        </w:rPr>
        <w:t>，低于欧盟 2030 目标 &lt; 2.5（P4）。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3.3 结构演化与活性相归属（P4–P5）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XRD：初始态 → MOF/氢氧化物混合态 → 最终 CoFe 羟基氧化物（P4）；AFM 层厚由 </w:t>
      </w:r>
      <w:r>
        <w:rPr>
          <w:rFonts w:ascii="Times New Roman" w:hAnsi="Times New Roman" w:eastAsia="宋体"/>
          <w:b/>
          <w:sz w:val="24"/>
        </w:rPr>
        <w:t>3.54 ± 0.18 nm 降至 1.47 ± 0.20 nm</w:t>
      </w:r>
      <w:r>
        <w:rPr>
          <w:rFonts w:ascii="Times New Roman" w:hAnsi="Times New Roman" w:eastAsia="宋体"/>
          <w:b w:val="0"/>
          <w:sz w:val="24"/>
        </w:rPr>
        <w:t xml:space="preserve">（P4）；XPS 出现 </w:t>
      </w:r>
      <w:r>
        <w:rPr>
          <w:rFonts w:ascii="Times New Roman" w:hAnsi="Times New Roman" w:eastAsia="宋体"/>
          <w:b/>
          <w:sz w:val="24"/>
        </w:rPr>
        <w:t>M–OH</w:t>
      </w:r>
      <w:r>
        <w:rPr>
          <w:rFonts w:ascii="Times New Roman" w:hAnsi="Times New Roman" w:eastAsia="宋体"/>
          <w:b w:val="0"/>
          <w:sz w:val="24"/>
        </w:rPr>
        <w:t xml:space="preserve"> 新 O 1s 峰，Co、Fe 价态升高（P4）。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XAS 关键结论</w:t>
      </w:r>
      <w:r>
        <w:rPr>
          <w:rFonts w:ascii="Times New Roman" w:hAnsi="Times New Roman" w:eastAsia="宋体"/>
          <w:b w:val="0"/>
          <w:sz w:val="24"/>
        </w:rPr>
        <w:t xml:space="preserve">：Co、Fe 价态随电位快速升高，配位环境由 </w:t>
      </w:r>
      <w:r>
        <w:rPr>
          <w:rFonts w:ascii="Times New Roman" w:hAnsi="Times New Roman" w:eastAsia="宋体"/>
          <w:b/>
          <w:sz w:val="24"/>
        </w:rPr>
        <w:t>M–O → M–OH → M–OOH</w:t>
      </w:r>
      <w:r>
        <w:rPr>
          <w:rFonts w:ascii="Times New Roman" w:hAnsi="Times New Roman" w:eastAsia="宋体"/>
          <w:b w:val="0"/>
          <w:sz w:val="24"/>
        </w:rPr>
        <w:t xml:space="preserve">；M–O 键长在 MOF 中 </w:t>
      </w:r>
      <w:r>
        <w:rPr>
          <w:rFonts w:ascii="Times New Roman" w:hAnsi="Times New Roman" w:eastAsia="宋体"/>
          <w:b/>
          <w:sz w:val="24"/>
        </w:rPr>
        <w:t>&gt; 2 Å</w:t>
      </w:r>
      <w:r>
        <w:rPr>
          <w:rFonts w:ascii="Times New Roman" w:hAnsi="Times New Roman" w:eastAsia="宋体"/>
          <w:b w:val="0"/>
          <w:sz w:val="24"/>
        </w:rPr>
        <w:t xml:space="preserve">、在 M–OOH 中约 </w:t>
      </w:r>
      <w:r>
        <w:rPr>
          <w:rFonts w:ascii="Times New Roman" w:hAnsi="Times New Roman" w:eastAsia="宋体"/>
          <w:b/>
          <w:sz w:val="24"/>
        </w:rPr>
        <w:t>1.9 Å</w:t>
      </w:r>
      <w:r>
        <w:rPr>
          <w:rFonts w:ascii="Times New Roman" w:hAnsi="Times New Roman" w:eastAsia="宋体"/>
          <w:b w:val="0"/>
          <w:sz w:val="24"/>
        </w:rPr>
        <w:t>（P4）。</w:t>
      </w:r>
      <w:r>
        <w:rPr>
          <w:rFonts w:ascii="Times New Roman" w:hAnsi="Times New Roman" w:eastAsia="宋体"/>
          <w:b/>
          <w:sz w:val="24"/>
        </w:rPr>
        <w:t>Ni 与 W 不同</w:t>
      </w:r>
      <w:r>
        <w:rPr>
          <w:rFonts w:ascii="Times New Roman" w:hAnsi="Times New Roman" w:eastAsia="宋体"/>
          <w:b w:val="0"/>
          <w:sz w:val="24"/>
        </w:rPr>
        <w:t xml:space="preserve">：价态升幅小，重构后 </w:t>
      </w:r>
      <w:r>
        <w:rPr>
          <w:rFonts w:ascii="Times New Roman" w:hAnsi="Times New Roman" w:eastAsia="宋体"/>
          <w:b/>
          <w:sz w:val="24"/>
        </w:rPr>
        <w:t>Ni K-edge 移回初始位置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不形成不可逆 Ni-OOH</w:t>
      </w:r>
      <w:r>
        <w:rPr>
          <w:rFonts w:ascii="Times New Roman" w:hAnsi="Times New Roman" w:eastAsia="宋体"/>
          <w:b w:val="0"/>
          <w:sz w:val="24"/>
        </w:rPr>
        <w:t>（P4–P5）；重构后 M–M、M–O 键长变短并保持稳定，Ni 配位数全程一致，撤电位后几乎恢复初始值（P4–P5）。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p-PDF 显示 </w:t>
      </w:r>
      <w:r>
        <w:rPr>
          <w:rFonts w:ascii="Times New Roman" w:hAnsi="Times New Roman" w:eastAsia="宋体"/>
          <w:b/>
          <w:sz w:val="24"/>
        </w:rPr>
        <w:t>PW₉ 簇在 MOF@POM-act 中完整保留</w:t>
      </w:r>
      <w:r>
        <w:rPr>
          <w:rFonts w:ascii="Times New Roman" w:hAnsi="Times New Roman" w:eastAsia="宋体"/>
          <w:b w:val="0"/>
          <w:sz w:val="24"/>
        </w:rPr>
        <w:t>；Ni–Ni 距离 9 Å 以内的峰归属单个 PW₉ 内 Ni 位点，</w:t>
      </w:r>
      <w:r>
        <w:rPr>
          <w:rFonts w:ascii="Times New Roman" w:hAnsi="Times New Roman" w:eastAsia="宋体"/>
          <w:b/>
          <w:sz w:val="24"/>
        </w:rPr>
        <w:t>9.12 Å</w:t>
      </w:r>
      <w:r>
        <w:rPr>
          <w:rFonts w:ascii="Times New Roman" w:hAnsi="Times New Roman" w:eastAsia="宋体"/>
          <w:b w:val="0"/>
          <w:sz w:val="24"/>
        </w:rPr>
        <w:t xml:space="preserve"> 对应跨 POM 作用，最显著跨 POM 贡献在 </w:t>
      </w:r>
      <w:r>
        <w:rPr>
          <w:rFonts w:ascii="Times New Roman" w:hAnsi="Times New Roman" w:eastAsia="宋体"/>
          <w:b/>
          <w:sz w:val="24"/>
        </w:rPr>
        <w:t>13 Å</w:t>
      </w:r>
      <w:r>
        <w:rPr>
          <w:rFonts w:ascii="Times New Roman" w:hAnsi="Times New Roman" w:eastAsia="宋体"/>
          <w:b w:val="0"/>
          <w:sz w:val="24"/>
        </w:rPr>
        <w:t>（P4）。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3.4 理论计算：稳定机制的定量根源（P5–P6）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模型：单层 </w:t>
      </w:r>
      <w:r>
        <w:rPr>
          <w:rFonts w:ascii="Times New Roman" w:hAnsi="Times New Roman" w:eastAsia="宋体"/>
          <w:b/>
          <w:sz w:val="24"/>
        </w:rPr>
        <w:t>Co₀.₅Fe₀.₅OOH 接枝于 POM</w:t>
      </w:r>
      <w:r>
        <w:rPr>
          <w:rFonts w:ascii="Times New Roman" w:hAnsi="Times New Roman" w:eastAsia="宋体"/>
          <w:b w:val="0"/>
          <w:sz w:val="24"/>
        </w:rPr>
        <w:t>（CCDC-2421729）（P5）。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热力学溶解相图（pH 14）</w:t>
      </w:r>
      <w:r>
        <w:rPr>
          <w:rFonts w:ascii="Times New Roman" w:hAnsi="Times New Roman" w:eastAsia="宋体"/>
          <w:b w:val="0"/>
          <w:sz w:val="24"/>
        </w:rPr>
        <w:t xml:space="preserve">：裸 Co₀.₅Fe₀.₅OOH 仅稳定至 </w:t>
      </w:r>
      <w:r>
        <w:rPr>
          <w:rFonts w:ascii="Times New Roman" w:hAnsi="Times New Roman" w:eastAsia="宋体"/>
          <w:b/>
          <w:sz w:val="24"/>
        </w:rPr>
        <w:t>1.48 V vs RHE</w:t>
      </w:r>
      <w:r>
        <w:rPr>
          <w:rFonts w:ascii="Times New Roman" w:hAnsi="Times New Roman" w:eastAsia="宋体"/>
          <w:b w:val="0"/>
          <w:sz w:val="24"/>
        </w:rPr>
        <w:t xml:space="preserve">，接枝 POM 后提至 </w:t>
      </w:r>
      <w:r>
        <w:rPr>
          <w:rFonts w:ascii="Times New Roman" w:hAnsi="Times New Roman" w:eastAsia="宋体"/>
          <w:b/>
          <w:sz w:val="24"/>
        </w:rPr>
        <w:t>1.80 V vs RHE</w:t>
      </w:r>
      <w:r>
        <w:rPr>
          <w:rFonts w:ascii="Times New Roman" w:hAnsi="Times New Roman" w:eastAsia="宋体"/>
          <w:b w:val="0"/>
          <w:sz w:val="24"/>
        </w:rPr>
        <w:t>（P5）。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溶解动力学</w:t>
      </w:r>
      <w:r>
        <w:rPr>
          <w:rFonts w:ascii="Times New Roman" w:hAnsi="Times New Roman" w:eastAsia="宋体"/>
          <w:b w:val="0"/>
          <w:sz w:val="24"/>
        </w:rPr>
        <w:t xml:space="preserve">：取文献溶解能垒 </w:t>
      </w:r>
      <w:r>
        <w:rPr>
          <w:rFonts w:ascii="Times New Roman" w:hAnsi="Times New Roman" w:eastAsia="宋体"/>
          <w:b/>
          <w:sz w:val="24"/>
        </w:rPr>
        <w:t>G_a ≈ 0.4 eV</w:t>
      </w:r>
      <w:r>
        <w:rPr>
          <w:rFonts w:ascii="Times New Roman" w:hAnsi="Times New Roman" w:eastAsia="宋体"/>
          <w:b w:val="0"/>
          <w:sz w:val="24"/>
        </w:rPr>
        <w:t>，以 Arrhenius 关系表达降解时间（P5）；结论：传统 Co₀.₅Fe₀.₅OOH 在 2.0 V 下 Fe/Co 快速溶解，寿命</w:t>
      </w:r>
      <w:r>
        <w:rPr>
          <w:rFonts w:ascii="Times New Roman" w:hAnsi="Times New Roman" w:eastAsia="宋体"/>
          <w:b/>
          <w:sz w:val="24"/>
        </w:rPr>
        <w:t>远小于 2000 h</w:t>
      </w:r>
      <w:r>
        <w:rPr>
          <w:rFonts w:ascii="Times New Roman" w:hAnsi="Times New Roman" w:eastAsia="宋体"/>
          <w:b w:val="0"/>
          <w:sz w:val="24"/>
        </w:rPr>
        <w:t>，引入 POM 后</w:t>
      </w:r>
      <w:r>
        <w:rPr>
          <w:rFonts w:ascii="Times New Roman" w:hAnsi="Times New Roman" w:eastAsia="宋体"/>
          <w:b/>
          <w:sz w:val="24"/>
        </w:rPr>
        <w:t>可工作约 5000 h</w:t>
      </w:r>
      <w:r>
        <w:rPr>
          <w:rFonts w:ascii="Times New Roman" w:hAnsi="Times New Roman" w:eastAsia="宋体"/>
          <w:b w:val="0"/>
          <w:sz w:val="24"/>
        </w:rPr>
        <w:t>（P6）。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电荷机制</w:t>
      </w:r>
      <w:r>
        <w:rPr>
          <w:rFonts w:ascii="Times New Roman" w:hAnsi="Times New Roman" w:eastAsia="宋体"/>
          <w:b w:val="0"/>
          <w:sz w:val="24"/>
        </w:rPr>
        <w:t>：电荷差分密度显示</w:t>
      </w:r>
      <w:r>
        <w:rPr>
          <w:rFonts w:ascii="Times New Roman" w:hAnsi="Times New Roman" w:eastAsia="宋体"/>
          <w:b/>
          <w:sz w:val="24"/>
        </w:rPr>
        <w:t>电子由 Ni 转移至 Co₀.₅Fe₀.₅OOH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降低 Fe、Co 电荷态</w:t>
      </w:r>
      <w:r>
        <w:rPr>
          <w:rFonts w:ascii="Times New Roman" w:hAnsi="Times New Roman" w:eastAsia="宋体"/>
          <w:b w:val="0"/>
          <w:sz w:val="24"/>
        </w:rPr>
        <w:t>，避免高电位下过氧化（P6）。作者并反向推论：</w:t>
      </w:r>
      <w:r>
        <w:rPr>
          <w:rFonts w:ascii="Times New Roman" w:hAnsi="Times New Roman" w:eastAsia="宋体"/>
          <w:b/>
          <w:sz w:val="24"/>
        </w:rPr>
        <w:t>高过电位（低活性）迫使活性位在更高电位工作，本身即过氧化成因之一</w:t>
      </w:r>
      <w:r>
        <w:rPr>
          <w:rFonts w:ascii="Times New Roman" w:hAnsi="Times New Roman" w:eastAsia="宋体"/>
          <w:b w:val="0"/>
          <w:sz w:val="24"/>
        </w:rPr>
        <w:t>——即"活性差会加速失稳"（P6）。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活性来源</w:t>
      </w:r>
      <w:r>
        <w:rPr>
          <w:rFonts w:ascii="Times New Roman" w:hAnsi="Times New Roman" w:eastAsia="宋体"/>
          <w:b w:val="0"/>
          <w:sz w:val="24"/>
        </w:rPr>
        <w:t xml:space="preserve">：决速步为 </w:t>
      </w:r>
      <w:r>
        <w:rPr>
          <w:rFonts w:ascii="Times New Roman" w:hAnsi="Times New Roman" w:eastAsia="宋体"/>
          <w:b/>
          <w:sz w:val="24"/>
        </w:rPr>
        <w:t>OOH 生成</w:t>
      </w:r>
      <w:r>
        <w:rPr>
          <w:rFonts w:ascii="Times New Roman" w:hAnsi="Times New Roman" w:eastAsia="宋体"/>
          <w:b w:val="0"/>
          <w:sz w:val="24"/>
        </w:rPr>
        <w:t xml:space="preserve">；裸 Co₀.₅Fe₀.₅OOH 该步能变 </w:t>
      </w:r>
      <w:r>
        <w:rPr>
          <w:rFonts w:ascii="Times New Roman" w:hAnsi="Times New Roman" w:eastAsia="宋体"/>
          <w:b/>
          <w:sz w:val="24"/>
        </w:rPr>
        <w:t>2.37 eV</w:t>
      </w:r>
      <w:r>
        <w:rPr>
          <w:rFonts w:ascii="Times New Roman" w:hAnsi="Times New Roman" w:eastAsia="宋体"/>
          <w:b w:val="0"/>
          <w:sz w:val="24"/>
        </w:rPr>
        <w:t xml:space="preserve">（过电位 1.14 V），POM/Co₀.₅Fe₀.₅OOH 降至 </w:t>
      </w:r>
      <w:r>
        <w:rPr>
          <w:rFonts w:ascii="Times New Roman" w:hAnsi="Times New Roman" w:eastAsia="宋体"/>
          <w:b/>
          <w:sz w:val="24"/>
        </w:rPr>
        <w:t>0.64 V</w:t>
      </w:r>
      <w:r>
        <w:rPr>
          <w:rFonts w:ascii="Times New Roman" w:hAnsi="Times New Roman" w:eastAsia="宋体"/>
          <w:b w:val="0"/>
          <w:sz w:val="24"/>
        </w:rPr>
        <w:t>（P6）。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技术难点识别（R2 为主，括号内为 R0 依据）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POM / MnO₂ 自身在酸性高电位下的稳定性</w:t>
      </w:r>
      <w:r>
        <w:rPr>
          <w:rFonts w:ascii="Times New Roman" w:hAnsi="Times New Roman" w:eastAsia="宋体"/>
          <w:b w:val="0"/>
          <w:sz w:val="24"/>
        </w:rPr>
        <w:t>：本文全程 pH 14 且 PW₉ 保持完整（P4）。若把该思路迁至酸性体系，须先验证载体本身的电位/pH 稳定窗口。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原位重构的"可控性"</w:t>
      </w:r>
      <w:r>
        <w:rPr>
          <w:rFonts w:ascii="Times New Roman" w:hAnsi="Times New Roman" w:eastAsia="宋体"/>
          <w:b w:val="0"/>
          <w:sz w:val="24"/>
        </w:rPr>
        <w:t>：活性相</w:t>
      </w:r>
      <w:r>
        <w:rPr>
          <w:rFonts w:ascii="Times New Roman" w:hAnsi="Times New Roman" w:eastAsia="宋体"/>
          <w:b/>
          <w:sz w:val="24"/>
        </w:rPr>
        <w:t>原位生成</w:t>
      </w:r>
      <w:r>
        <w:rPr>
          <w:rFonts w:ascii="Times New Roman" w:hAnsi="Times New Roman" w:eastAsia="宋体"/>
          <w:b w:val="0"/>
          <w:sz w:val="24"/>
        </w:rPr>
        <w:t>，最终结构</w:t>
      </w:r>
      <w:r>
        <w:rPr>
          <w:rFonts w:ascii="Times New Roman" w:hAnsi="Times New Roman" w:eastAsia="宋体"/>
          <w:b/>
          <w:sz w:val="24"/>
        </w:rPr>
        <w:t>由电解条件反向决定</w:t>
      </w:r>
      <w:r>
        <w:rPr>
          <w:rFonts w:ascii="Times New Roman" w:hAnsi="Times New Roman" w:eastAsia="宋体"/>
          <w:b w:val="0"/>
          <w:sz w:val="24"/>
        </w:rPr>
        <w:t>（P4），离线表征会误导，</w:t>
      </w:r>
      <w:r>
        <w:rPr>
          <w:rFonts w:ascii="Times New Roman" w:hAnsi="Times New Roman" w:eastAsia="宋体"/>
          <w:b/>
          <w:sz w:val="24"/>
        </w:rPr>
        <w:t>必须用工况谱学</w:t>
      </w:r>
      <w:r>
        <w:rPr>
          <w:rFonts w:ascii="Times New Roman" w:hAnsi="Times New Roman" w:eastAsia="宋体"/>
          <w:b w:val="0"/>
          <w:sz w:val="24"/>
        </w:rPr>
        <w:t>（原位拉曼、原位 XAS）。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"桥连金属"角色判定极难</w:t>
      </w:r>
      <w:r>
        <w:rPr>
          <w:rFonts w:ascii="Times New Roman" w:hAnsi="Times New Roman" w:eastAsia="宋体"/>
          <w:b w:val="0"/>
          <w:sz w:val="24"/>
        </w:rPr>
        <w:t xml:space="preserve">：本文动用 p-PDF + 变电位 XANES/EXAFS + 配位数演化，才敢断言 </w:t>
      </w:r>
      <w:r>
        <w:rPr>
          <w:rFonts w:ascii="Times New Roman" w:hAnsi="Times New Roman" w:eastAsia="宋体"/>
          <w:b/>
          <w:sz w:val="24"/>
        </w:rPr>
        <w:t>Ni 不是活性位而是弹性形变层</w:t>
      </w:r>
      <w:r>
        <w:rPr>
          <w:rFonts w:ascii="Times New Roman" w:hAnsi="Times New Roman" w:eastAsia="宋体"/>
          <w:b w:val="0"/>
          <w:sz w:val="24"/>
        </w:rPr>
        <w:t>（P4–P5）；难点在"价态升幅小 ≠ 不参与反应"，最有力判据是</w:t>
      </w:r>
      <w:r>
        <w:rPr>
          <w:rFonts w:ascii="Times New Roman" w:hAnsi="Times New Roman" w:eastAsia="宋体"/>
          <w:b/>
          <w:sz w:val="24"/>
        </w:rPr>
        <w:t>撤电位后 K-edge 复位</w:t>
      </w:r>
      <w:r>
        <w:rPr>
          <w:rFonts w:ascii="Times New Roman" w:hAnsi="Times New Roman" w:eastAsia="宋体"/>
          <w:b w:val="0"/>
          <w:sz w:val="24"/>
        </w:rPr>
        <w:t>，须专门设计可逆性实验。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稳定性归因未做控制变量剥离</w:t>
      </w:r>
      <w:r>
        <w:rPr>
          <w:rFonts w:ascii="Times New Roman" w:hAnsi="Times New Roman" w:eastAsia="宋体"/>
          <w:b w:val="0"/>
          <w:sz w:val="24"/>
        </w:rPr>
        <w:t>：提升同时来自电子通道降低电荷态（P6）、热力学窗口拓宽（P5）、Ni 弹性缓冲（P4–P5）、形貌与导电性改善（P2）四条路径，本文</w:t>
      </w:r>
      <w:r>
        <w:rPr>
          <w:rFonts w:ascii="Times New Roman" w:hAnsi="Times New Roman" w:eastAsia="宋体"/>
          <w:b/>
          <w:sz w:val="24"/>
        </w:rPr>
        <w:t>未逐一分离</w:t>
      </w:r>
      <w:r>
        <w:rPr>
          <w:rFonts w:ascii="Times New Roman" w:hAnsi="Times New Roman" w:eastAsia="宋体"/>
          <w:b w:val="0"/>
          <w:sz w:val="24"/>
        </w:rPr>
        <w:t>（R2）——这正是本课题可做得更干净之处。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寿命外推与溶出证据的短板</w:t>
      </w:r>
      <w:r>
        <w:rPr>
          <w:rFonts w:ascii="Times New Roman" w:hAnsi="Times New Roman" w:eastAsia="宋体"/>
          <w:b w:val="0"/>
          <w:sz w:val="24"/>
        </w:rPr>
        <w:t xml:space="preserve">：5000 h 来自 Arrhenius 外推，关键输入 </w:t>
      </w:r>
      <w:r>
        <w:rPr>
          <w:rFonts w:ascii="Times New Roman" w:hAnsi="Times New Roman" w:eastAsia="宋体"/>
          <w:b/>
          <w:sz w:val="24"/>
        </w:rPr>
        <w:t>G_a ≈ 0.4 eV 取自文献而非本体系实测</w:t>
      </w:r>
      <w:r>
        <w:rPr>
          <w:rFonts w:ascii="Times New Roman" w:hAnsi="Times New Roman" w:eastAsia="宋体"/>
          <w:b w:val="0"/>
          <w:sz w:val="24"/>
        </w:rPr>
        <w:t>（P5），指数级敏感，宜视为</w:t>
      </w:r>
      <w:r>
        <w:rPr>
          <w:rFonts w:ascii="Times New Roman" w:hAnsi="Times New Roman" w:eastAsia="宋体"/>
          <w:b/>
          <w:sz w:val="24"/>
        </w:rPr>
        <w:t>数量级估计</w:t>
      </w:r>
      <w:r>
        <w:rPr>
          <w:rFonts w:ascii="Times New Roman" w:hAnsi="Times New Roman" w:eastAsia="宋体"/>
          <w:b w:val="0"/>
          <w:sz w:val="24"/>
        </w:rPr>
        <w:t>；且正文层面未见逐元素 ICP-MS 溶出速率曲线，对酸性 Ru 体系是必须补齐的一环（R2）。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证明界面耦合的表征组合拳（最高优先级）</w:t>
      </w:r>
      <w:r>
        <w:rPr>
          <w:rFonts w:ascii="Times New Roman" w:hAnsi="Times New Roman" w:eastAsia="宋体"/>
          <w:b w:val="0"/>
          <w:sz w:val="24"/>
        </w:rPr>
        <w:t xml:space="preserve">：照搬 P2 思路——以同步辐射 </w:t>
      </w:r>
      <w:r>
        <w:rPr>
          <w:rFonts w:ascii="Times New Roman" w:hAnsi="Times New Roman" w:eastAsia="宋体"/>
          <w:b/>
          <w:sz w:val="24"/>
        </w:rPr>
        <w:t>PDF + p-PDF</w:t>
      </w:r>
      <w:r>
        <w:rPr>
          <w:rFonts w:ascii="Times New Roman" w:hAnsi="Times New Roman" w:eastAsia="宋体"/>
          <w:b w:val="0"/>
          <w:sz w:val="24"/>
        </w:rPr>
        <w:t xml:space="preserve"> 给出</w:t>
      </w:r>
      <w:r>
        <w:rPr>
          <w:rFonts w:ascii="Times New Roman" w:hAnsi="Times New Roman" w:eastAsia="宋体"/>
          <w:b/>
          <w:sz w:val="24"/>
        </w:rPr>
        <w:t>异核原子对距离</w:t>
      </w:r>
      <w:r>
        <w:rPr>
          <w:rFonts w:ascii="Times New Roman" w:hAnsi="Times New Roman" w:eastAsia="宋体"/>
          <w:b w:val="0"/>
          <w:sz w:val="24"/>
        </w:rPr>
        <w:t xml:space="preserve">（本文为 Ni–Fe、Ni–W）。本课题应拟合 </w:t>
      </w:r>
      <w:r>
        <w:rPr>
          <w:rFonts w:ascii="Times New Roman" w:hAnsi="Times New Roman" w:eastAsia="宋体"/>
          <w:b/>
          <w:sz w:val="24"/>
        </w:rPr>
        <w:t>Ru–Mn 原子对</w:t>
      </w:r>
      <w:r>
        <w:rPr>
          <w:rFonts w:ascii="Times New Roman" w:hAnsi="Times New Roman" w:eastAsia="宋体"/>
          <w:b w:val="0"/>
          <w:sz w:val="24"/>
        </w:rPr>
        <w:t>，给出 Ru–O–Mn 键长与配位数；配套</w:t>
      </w:r>
      <w:r>
        <w:rPr>
          <w:rFonts w:ascii="Times New Roman" w:hAnsi="Times New Roman" w:eastAsia="宋体"/>
          <w:b/>
          <w:sz w:val="24"/>
        </w:rPr>
        <w:t>变电位 XANES/EXAFS 追踪 Ru 价态与 Ru–O 配位壳层</w:t>
      </w:r>
      <w:r>
        <w:rPr>
          <w:rFonts w:ascii="Times New Roman" w:hAnsi="Times New Roman" w:eastAsia="宋体"/>
          <w:b w:val="0"/>
          <w:sz w:val="24"/>
        </w:rPr>
        <w:t>（P4 的 M–O → M–OH → M–OOH 范式可套用为 Ru–O → Ru–OH → RuO₄ 前驱体）。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"电荷缓冲层"设计原则</w:t>
      </w:r>
      <w:r>
        <w:rPr>
          <w:rFonts w:ascii="Times New Roman" w:hAnsi="Times New Roman" w:eastAsia="宋体"/>
          <w:b w:val="0"/>
          <w:sz w:val="24"/>
        </w:rPr>
        <w:t>：本文 Ni 的关键特征是"</w:t>
      </w:r>
      <w:r>
        <w:rPr>
          <w:rFonts w:ascii="Times New Roman" w:hAnsi="Times New Roman" w:eastAsia="宋体"/>
          <w:b/>
          <w:sz w:val="24"/>
        </w:rPr>
        <w:t>可变价、但不进入不可逆高价态</w:t>
      </w:r>
      <w:r>
        <w:rPr>
          <w:rFonts w:ascii="Times New Roman" w:hAnsi="Times New Roman" w:eastAsia="宋体"/>
          <w:b w:val="0"/>
          <w:sz w:val="24"/>
        </w:rPr>
        <w:t>"（P4）。可把 MnOₓ 设计成同类角色，并</w:t>
      </w:r>
      <w:r>
        <w:rPr>
          <w:rFonts w:ascii="Times New Roman" w:hAnsi="Times New Roman" w:eastAsia="宋体"/>
          <w:b/>
          <w:sz w:val="24"/>
        </w:rPr>
        <w:t>用撤电位后 XANES 是否复位</w:t>
      </w:r>
      <w:r>
        <w:rPr>
          <w:rFonts w:ascii="Times New Roman" w:hAnsi="Times New Roman" w:eastAsia="宋体"/>
          <w:b w:val="0"/>
          <w:sz w:val="24"/>
        </w:rPr>
        <w:t>验证 Mn 的可逆性。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衰减模式的诊断价值</w:t>
      </w:r>
      <w:r>
        <w:rPr>
          <w:rFonts w:ascii="Times New Roman" w:hAnsi="Times New Roman" w:eastAsia="宋体"/>
          <w:b w:val="0"/>
          <w:sz w:val="24"/>
        </w:rPr>
        <w:t>：采用 P3 判据，在若干电流密度下采长时曲线，</w:t>
      </w:r>
      <w:r>
        <w:rPr>
          <w:rFonts w:ascii="Times New Roman" w:hAnsi="Times New Roman" w:eastAsia="宋体"/>
          <w:b/>
          <w:sz w:val="24"/>
        </w:rPr>
        <w:t>检验衰减是线性还是指数</w:t>
      </w:r>
      <w:r>
        <w:rPr>
          <w:rFonts w:ascii="Times New Roman" w:hAnsi="Times New Roman" w:eastAsia="宋体"/>
          <w:b w:val="0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低成本、高信息量</w:t>
      </w:r>
      <w:r>
        <w:rPr>
          <w:rFonts w:ascii="Times New Roman" w:hAnsi="Times New Roman" w:eastAsia="宋体"/>
          <w:b w:val="0"/>
          <w:sz w:val="24"/>
        </w:rPr>
        <w:t>，适合 FYP 时间尺度。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S-number 与活性-稳定性因子作为量化指标</w:t>
      </w:r>
      <w:r>
        <w:rPr>
          <w:rFonts w:ascii="Times New Roman" w:hAnsi="Times New Roman" w:eastAsia="宋体"/>
          <w:b w:val="0"/>
          <w:sz w:val="24"/>
        </w:rPr>
        <w:t xml:space="preserve">：本文以 S-number（基于电解质溶出）与活性-稳定性因子（溶出速率/O₂ 生成速率）定量比较（P3）；酸性 Ru 体系更应标配 </w:t>
      </w:r>
      <w:r>
        <w:rPr>
          <w:rFonts w:ascii="Times New Roman" w:hAnsi="Times New Roman" w:eastAsia="宋体"/>
          <w:b/>
          <w:sz w:val="24"/>
        </w:rPr>
        <w:t>ICP-MS 溶出 + S-number</w:t>
      </w:r>
      <w:r>
        <w:rPr>
          <w:rFonts w:ascii="Times New Roman" w:hAnsi="Times New Roman" w:eastAsia="宋体"/>
          <w:b w:val="0"/>
          <w:sz w:val="24"/>
        </w:rPr>
        <w:t>，以便与文献横向比较。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原位拉曼界定"活性相何时生成"</w:t>
      </w:r>
      <w:r>
        <w:rPr>
          <w:rFonts w:ascii="Times New Roman" w:hAnsi="Times New Roman" w:eastAsia="宋体"/>
          <w:b w:val="0"/>
          <w:sz w:val="24"/>
        </w:rPr>
        <w:t xml:space="preserve">：本文以有机峰消失 + 新峰（540–465 cm⁻¹）出现界定转变电位 1.53 V 与时间（纯 MOF 需 5 min）（P4）；可类比追踪 </w:t>
      </w:r>
      <w:r>
        <w:rPr>
          <w:rFonts w:ascii="Times New Roman" w:hAnsi="Times New Roman" w:eastAsia="宋体"/>
          <w:b/>
          <w:sz w:val="24"/>
        </w:rPr>
        <w:t>MnO₂ 特征峰（约 500–750 cm⁻¹）随电位的演化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"活性差会加速失稳"的设计含义</w:t>
      </w:r>
      <w:r>
        <w:rPr>
          <w:rFonts w:ascii="Times New Roman" w:hAnsi="Times New Roman" w:eastAsia="宋体"/>
          <w:b w:val="0"/>
          <w:sz w:val="24"/>
        </w:rPr>
        <w:t>：由 P6 反向推论，高过电位迫使催化剂在高电位工作，本身加剧过氧化。故本课题目标不应只是"包住 Ru"，而要</w:t>
      </w:r>
      <w:r>
        <w:rPr>
          <w:rFonts w:ascii="Times New Roman" w:hAnsi="Times New Roman" w:eastAsia="宋体"/>
          <w:b/>
          <w:sz w:val="24"/>
        </w:rPr>
        <w:t>同时降低过电位</w:t>
      </w:r>
      <w:r>
        <w:rPr>
          <w:rFonts w:ascii="Times New Roman" w:hAnsi="Times New Roman" w:eastAsia="宋体"/>
          <w:b w:val="0"/>
          <w:sz w:val="24"/>
        </w:rPr>
        <w:t>，让 Ru 工作在更低电位，从源头减少 RuO₄ 生成——</w:t>
      </w:r>
      <w:r>
        <w:rPr>
          <w:rFonts w:ascii="Times New Roman" w:hAnsi="Times New Roman" w:eastAsia="宋体"/>
          <w:b/>
          <w:sz w:val="24"/>
        </w:rPr>
        <w:t>此点应在 pre 中作为设计目标写明。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"电荷缓冲"机制在酸性下能否成立？</w:t>
      </w:r>
      <w:r>
        <w:rPr>
          <w:rFonts w:ascii="Times New Roman" w:hAnsi="Times New Roman" w:eastAsia="宋体"/>
          <w:b w:val="0"/>
          <w:sz w:val="24"/>
        </w:rPr>
        <w:t xml:space="preserve"> 本文核心是</w:t>
      </w:r>
      <w:r>
        <w:rPr>
          <w:rFonts w:ascii="Times New Roman" w:hAnsi="Times New Roman" w:eastAsia="宋体"/>
          <w:b/>
          <w:sz w:val="24"/>
        </w:rPr>
        <w:t>降低活性金属电荷态以抑制过氧化</w:t>
      </w:r>
      <w:r>
        <w:rPr>
          <w:rFonts w:ascii="Times New Roman" w:hAnsi="Times New Roman" w:eastAsia="宋体"/>
          <w:b w:val="0"/>
          <w:sz w:val="24"/>
        </w:rPr>
        <w:t xml:space="preserve">（P6），但酸性 Ru 失稳主导通道是 </w:t>
      </w:r>
      <w:r>
        <w:rPr>
          <w:rFonts w:ascii="Times New Roman" w:hAnsi="Times New Roman" w:eastAsia="宋体"/>
          <w:b/>
          <w:sz w:val="24"/>
        </w:rPr>
        <w:t>RuO₄（高价 Ru）生成</w:t>
      </w:r>
      <w:r>
        <w:rPr>
          <w:rFonts w:ascii="Times New Roman" w:hAnsi="Times New Roman" w:eastAsia="宋体"/>
          <w:b w:val="0"/>
          <w:sz w:val="24"/>
        </w:rPr>
        <w:t>（R1）。</w:t>
      </w:r>
      <w:r>
        <w:rPr>
          <w:rFonts w:ascii="Times New Roman" w:hAnsi="Times New Roman" w:eastAsia="宋体"/>
          <w:b/>
          <w:sz w:val="24"/>
        </w:rPr>
        <w:t>关键问题（R2）</w:t>
      </w:r>
      <w:r>
        <w:rPr>
          <w:rFonts w:ascii="Times New Roman" w:hAnsi="Times New Roman" w:eastAsia="宋体"/>
          <w:b w:val="0"/>
          <w:sz w:val="24"/>
        </w:rPr>
        <w:t>：MnO₂ 缓冲的是"电荷"还是"氧配位"？若 Ru 失稳由</w:t>
      </w:r>
      <w:r>
        <w:rPr>
          <w:rFonts w:ascii="Times New Roman" w:hAnsi="Times New Roman" w:eastAsia="宋体"/>
          <w:b/>
          <w:sz w:val="24"/>
        </w:rPr>
        <w:t>晶格氧参与（LOM）</w:t>
      </w:r>
      <w:r>
        <w:rPr>
          <w:rFonts w:ascii="Times New Roman" w:hAnsi="Times New Roman" w:eastAsia="宋体"/>
          <w:b w:val="0"/>
          <w:sz w:val="24"/>
        </w:rPr>
        <w:t>主导而非单纯电荷态，则单纯电荷缓冲可能不足——这指向本课题最值得做的对照实验：</w:t>
      </w:r>
      <w:r>
        <w:rPr>
          <w:rFonts w:ascii="Times New Roman" w:hAnsi="Times New Roman" w:eastAsia="宋体"/>
          <w:b/>
          <w:sz w:val="24"/>
        </w:rPr>
        <w:t>抑制 LOM vs 降低电荷态，哪个在酸性下更有效？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"原位共生"与"预沉积 MnO₂"的路线之争（R2）</w:t>
      </w:r>
      <w:r>
        <w:rPr>
          <w:rFonts w:ascii="Times New Roman" w:hAnsi="Times New Roman" w:eastAsia="宋体"/>
          <w:b w:val="0"/>
          <w:sz w:val="24"/>
        </w:rPr>
        <w:t>：本文稳定层与活性相</w:t>
      </w:r>
      <w:r>
        <w:rPr>
          <w:rFonts w:ascii="Times New Roman" w:hAnsi="Times New Roman" w:eastAsia="宋体"/>
          <w:b/>
          <w:sz w:val="24"/>
        </w:rPr>
        <w:t>原位共生</w:t>
      </w:r>
      <w:r>
        <w:rPr>
          <w:rFonts w:ascii="Times New Roman" w:hAnsi="Times New Roman" w:eastAsia="宋体"/>
          <w:b w:val="0"/>
          <w:sz w:val="24"/>
        </w:rPr>
        <w:t>（P4）；本课题若先沉积 MnO₂ 再负载 Ru，界面可能是"拼接"而非"共生"。</w:t>
      </w:r>
      <w:r>
        <w:rPr>
          <w:rFonts w:ascii="Times New Roman" w:hAnsi="Times New Roman" w:eastAsia="宋体"/>
          <w:b/>
          <w:sz w:val="24"/>
        </w:rPr>
        <w:t>值得验证</w:t>
      </w:r>
      <w:r>
        <w:rPr>
          <w:rFonts w:ascii="Times New Roman" w:hAnsi="Times New Roman" w:eastAsia="宋体"/>
          <w:b w:val="0"/>
          <w:sz w:val="24"/>
        </w:rPr>
        <w:t>：OER 工况下 Ru/MnO₂ 界面是否会</w:t>
      </w:r>
      <w:r>
        <w:rPr>
          <w:rFonts w:ascii="Times New Roman" w:hAnsi="Times New Roman" w:eastAsia="宋体"/>
          <w:b/>
          <w:sz w:val="24"/>
        </w:rPr>
        <w:t>继续演化</w:t>
      </w:r>
      <w:r>
        <w:rPr>
          <w:rFonts w:ascii="Times New Roman" w:hAnsi="Times New Roman" w:eastAsia="宋体"/>
          <w:b w:val="0"/>
          <w:sz w:val="24"/>
        </w:rPr>
        <w:t xml:space="preserve">（Mn 部分还原、Ru 部分嵌入），自我修复为更稳定的 Ru–O–Mn 构型？3. </w:t>
      </w:r>
      <w:r>
        <w:rPr>
          <w:rFonts w:ascii="Times New Roman" w:hAnsi="Times New Roman" w:eastAsia="宋体"/>
          <w:b/>
          <w:sz w:val="24"/>
        </w:rPr>
        <w:t>Mn 的双重身份风险（R2）</w:t>
      </w:r>
      <w:r>
        <w:rPr>
          <w:rFonts w:ascii="Times New Roman" w:hAnsi="Times New Roman" w:eastAsia="宋体"/>
          <w:b w:val="0"/>
          <w:sz w:val="24"/>
        </w:rPr>
        <w:t>：Mn 在酸性 OER 中</w:t>
      </w:r>
      <w:r>
        <w:rPr>
          <w:rFonts w:ascii="Times New Roman" w:hAnsi="Times New Roman" w:eastAsia="宋体"/>
          <w:b/>
          <w:sz w:val="24"/>
        </w:rPr>
        <w:t>既是稳定剂也可能是溶出源</w:t>
      </w:r>
      <w:r>
        <w:rPr>
          <w:rFonts w:ascii="Times New Roman" w:hAnsi="Times New Roman" w:eastAsia="宋体"/>
          <w:b w:val="0"/>
          <w:sz w:val="24"/>
        </w:rPr>
        <w:t>（MnO₂ 在酸中可歧化/还原为 Mn²⁺ 溶出）。本文 W 在 POM 中"升幅小且可复位"（P4）是理想态。</w:t>
      </w:r>
      <w:r>
        <w:rPr>
          <w:rFonts w:ascii="Times New Roman" w:hAnsi="Times New Roman" w:eastAsia="宋体"/>
          <w:b/>
          <w:sz w:val="24"/>
        </w:rPr>
        <w:t>本课题必须回答</w:t>
      </w:r>
      <w:r>
        <w:rPr>
          <w:rFonts w:ascii="Times New Roman" w:hAnsi="Times New Roman" w:eastAsia="宋体"/>
          <w:b w:val="0"/>
          <w:sz w:val="24"/>
        </w:rPr>
        <w:t>：MnO₂ 在酸性 OER 窗口内自身能撑多久？</w:t>
      </w:r>
      <w:r>
        <w:rPr>
          <w:rFonts w:ascii="Times New Roman" w:hAnsi="Times New Roman" w:eastAsia="宋体"/>
          <w:b/>
          <w:sz w:val="24"/>
        </w:rPr>
        <w:t>若 MnO₂ 先溶出，"稳定 Ru"的叙事会在长时测试中崩塌</w:t>
      </w:r>
      <w:r>
        <w:rPr>
          <w:rFonts w:ascii="Times New Roman" w:hAnsi="Times New Roman" w:eastAsia="宋体"/>
          <w:b w:val="0"/>
          <w:sz w:val="24"/>
        </w:rPr>
        <w:t>——必须前置验证的"生死线"实验。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差异化落点（见 2.2）（R1/R2）</w:t>
      </w:r>
      <w:r>
        <w:rPr>
          <w:rFonts w:ascii="Times New Roman" w:hAnsi="Times New Roman" w:eastAsia="宋体"/>
          <w:b w:val="0"/>
          <w:sz w:val="24"/>
        </w:rPr>
        <w:t>：因 Ru–O–Mn motifs 已有发表，本课题的差异应落在</w:t>
      </w:r>
      <w:r>
        <w:rPr>
          <w:rFonts w:ascii="Times New Roman" w:hAnsi="Times New Roman" w:eastAsia="宋体"/>
          <w:b/>
          <w:sz w:val="24"/>
        </w:rPr>
        <w:t>"电沉积"工艺维度</w:t>
      </w:r>
      <w:r>
        <w:rPr>
          <w:rFonts w:ascii="Times New Roman" w:hAnsi="Times New Roman" w:eastAsia="宋体"/>
          <w:b w:val="0"/>
          <w:sz w:val="24"/>
        </w:rPr>
        <w:t>——低温、免粘结剂、可直接生长于多孔基底，且</w:t>
      </w:r>
      <w:r>
        <w:rPr>
          <w:rFonts w:ascii="Times New Roman" w:hAnsi="Times New Roman" w:eastAsia="宋体"/>
          <w:b/>
          <w:sz w:val="24"/>
        </w:rPr>
        <w:t>晶相与形貌由电位/电流密度/pH 连续可调</w:t>
      </w:r>
      <w:r>
        <w:rPr>
          <w:rFonts w:ascii="Times New Roman" w:hAnsi="Times New Roman" w:eastAsia="宋体"/>
          <w:b w:val="0"/>
          <w:sz w:val="24"/>
        </w:rPr>
        <w:t>；故事应从"界面能否稳定"转向"</w:t>
      </w:r>
      <w:r>
        <w:rPr>
          <w:rFonts w:ascii="Times New Roman" w:hAnsi="Times New Roman" w:eastAsia="宋体"/>
          <w:b/>
          <w:sz w:val="24"/>
        </w:rPr>
        <w:t>如何用电沉积参数定量调控 Ru–O–Mn 界面</w:t>
      </w:r>
      <w:r>
        <w:rPr>
          <w:rFonts w:ascii="Times New Roman" w:hAnsi="Times New Roman" w:eastAsia="宋体"/>
          <w:b w:val="0"/>
          <w:sz w:val="24"/>
        </w:rPr>
        <w:t>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对本组 pre 的启示（R2）</w:t>
      </w:r>
      <w:r>
        <w:rPr>
          <w:rFonts w:ascii="Times New Roman" w:hAnsi="Times New Roman" w:eastAsia="宋体"/>
          <w:b w:val="0"/>
          <w:sz w:val="24"/>
        </w:rPr>
        <w:t>：本文叙事链"</w:t>
      </w:r>
      <w:r>
        <w:rPr>
          <w:rFonts w:ascii="Times New Roman" w:hAnsi="Times New Roman" w:eastAsia="宋体"/>
          <w:b/>
          <w:sz w:val="24"/>
        </w:rPr>
        <w:t>活性相会溶解 → 引入可逆变价第二金属中心 → 原位谱学证明其在缓冲电荷 → 热力学/动力学计算量化寿命 → 工业级器件验证</w:t>
      </w:r>
      <w:r>
        <w:rPr>
          <w:rFonts w:ascii="Times New Roman" w:hAnsi="Times New Roman" w:eastAsia="宋体"/>
          <w:b w:val="0"/>
          <w:sz w:val="24"/>
        </w:rPr>
        <w:t>"，即"</w:t>
      </w:r>
      <w:r>
        <w:rPr>
          <w:rFonts w:ascii="Times New Roman" w:hAnsi="Times New Roman" w:eastAsia="宋体"/>
          <w:b/>
          <w:sz w:val="24"/>
        </w:rPr>
        <w:t>问题—机制—定量—器件</w:t>
      </w:r>
      <w:r>
        <w:rPr>
          <w:rFonts w:ascii="Times New Roman" w:hAnsi="Times New Roman" w:eastAsia="宋体"/>
          <w:b w:val="0"/>
          <w:sz w:val="24"/>
        </w:rPr>
        <w:t>"四段式，可作本课题 pre 的逻辑骨架；并提示须尽早确定</w:t>
      </w:r>
      <w:r>
        <w:rPr>
          <w:rFonts w:ascii="Times New Roman" w:hAnsi="Times New Roman" w:eastAsia="宋体"/>
          <w:b/>
          <w:sz w:val="24"/>
        </w:rPr>
        <w:t>定量指标</w:t>
      </w:r>
      <w:r>
        <w:rPr>
          <w:rFonts w:ascii="Times New Roman" w:hAnsi="Times New Roman" w:eastAsia="宋体"/>
          <w:b w:val="0"/>
          <w:sz w:val="24"/>
        </w:rPr>
        <w:t>（η@10 mA cm⁻²、酸性 Tafel 斜率、ICP-MS 溶出速率、S-number、恒流稳定时长），机制归属则须以严格判据（</w:t>
      </w:r>
      <w:r>
        <w:rPr>
          <w:rFonts w:ascii="Times New Roman" w:hAnsi="Times New Roman" w:eastAsia="宋体"/>
          <w:b/>
          <w:sz w:val="24"/>
        </w:rPr>
        <w:t>¹⁸O 标记 DEMS、质子反应级数、H/D 同位素效应</w:t>
      </w:r>
      <w:r>
        <w:rPr>
          <w:rFonts w:ascii="Times New Roman" w:hAnsi="Times New Roman" w:eastAsia="宋体"/>
          <w:b w:val="0"/>
          <w:sz w:val="24"/>
        </w:rPr>
        <w:t>）区分 AEM 与 LOM（R1）。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