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CSC-4 · 课题接口与 pre 用处（已填 · 2026-09-21 读完）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编制日期：2026年09月22日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对应 10 页版 PPT 的映射：见 </w:t>
      </w:r>
      <w:r>
        <w:rPr>
          <w:rFonts w:ascii="Consolas" w:hAnsi="Consolas" w:eastAsia="Consolas"/>
          <w:sz w:val="24"/>
          <w:shd w:fill="F0F0F0"/>
        </w:rPr>
        <w:t>FYP/9.24-pre-PPT骨架.md</w:t>
      </w:r>
      <w:r>
        <w:rPr>
          <w:rFonts w:ascii="Times New Roman" w:hAnsi="Times New Roman" w:eastAsia="宋体"/>
          <w:b w:val="0"/>
          <w:sz w:val="24"/>
        </w:rPr>
        <w:t xml:space="preserve"> 顶部「10 页映射方案」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证据分级：R0=原文事实（附页码，</w:t>
      </w:r>
      <w:r>
        <w:rPr>
          <w:rFonts w:ascii="Times New Roman" w:hAnsi="Times New Roman" w:eastAsia="宋体"/>
          <w:b/>
          <w:sz w:val="24"/>
        </w:rPr>
        <w:t>期刊页 = PDF 页 + 2195</w:t>
      </w:r>
      <w:r>
        <w:rPr>
          <w:rFonts w:ascii="Times New Roman" w:hAnsi="Times New Roman" w:eastAsia="宋体"/>
          <w:b w:val="0"/>
          <w:sz w:val="24"/>
        </w:rPr>
        <w:t>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这篇文献在课题里的"三个用途"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12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用途</w:t>
            </w:r>
          </w:p>
        </w:tc>
        <w:tc>
          <w:tcPr>
            <w:tcW w:type="dxa" w:w="651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具体内容</w:t>
            </w:r>
          </w:p>
        </w:tc>
        <w:tc>
          <w:tcPr>
            <w:tcW w:type="dxa" w:w="8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页码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① </w:t>
            </w:r>
            <w:r>
              <w:rPr>
                <w:rFonts w:ascii="Times New Roman" w:hAnsi="Times New Roman" w:eastAsia="宋体"/>
                <w:b/>
                <w:sz w:val="24"/>
              </w:rPr>
              <w:t>论证"为什么必须做酸性"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PEM 制造局部酸性环境（Nafion ≈ 1 M 质子）；碱性路线受 OH⁻ 迁移率/扩散系数比质子低 1.75 倍限制；基准 </w:t>
            </w:r>
            <w:r>
              <w:rPr>
                <w:rFonts w:ascii="Times New Roman" w:hAnsi="Times New Roman" w:eastAsia="宋体"/>
                <w:b/>
                <w:sz w:val="24"/>
              </w:rPr>
              <w:t>IrO₂ 在酸碱中都会溶</w:t>
            </w:r>
            <w:r>
              <w:rPr>
                <w:rFonts w:ascii="Times New Roman" w:hAnsi="Times New Roman" w:eastAsia="宋体"/>
                <w:b w:val="0"/>
                <w:sz w:val="24"/>
              </w:rPr>
              <w:t>（生成水溶性 IrO₄²⁻）；成稿时唯一兼顾活性与酸稳定的仍是 Ir 基，而 Ir 极稀缺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p.2208（R0）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② </w:t>
            </w:r>
            <w:r>
              <w:rPr>
                <w:rFonts w:ascii="Times New Roman" w:hAnsi="Times New Roman" w:eastAsia="宋体"/>
                <w:b/>
                <w:sz w:val="24"/>
              </w:rPr>
              <w:t>论证"为什么可以用 MnO₂"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γ-MnO₂ 在 pH 2 下电解 8000 h 几乎不失活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；掺入 </w:t>
            </w:r>
            <w:r>
              <w:rPr>
                <w:rFonts w:ascii="Times New Roman" w:hAnsi="Times New Roman" w:eastAsia="宋体"/>
                <w:b/>
                <w:sz w:val="24"/>
              </w:rPr>
              <w:t>Ti、Ge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等杂原子可稳定 MnO₂ 的反应终止态、带来更多配位不饱和位点；同时警告"</w:t>
            </w:r>
            <w:r>
              <w:rPr>
                <w:rFonts w:ascii="Times New Roman" w:hAnsi="Times New Roman" w:eastAsia="宋体"/>
                <w:b/>
                <w:sz w:val="24"/>
              </w:rPr>
              <w:t>为过渡金属氧化物寻找合适的电位工作窗口是必要的</w:t>
            </w:r>
            <w:r>
              <w:rPr>
                <w:rFonts w:ascii="Times New Roman" w:hAnsi="Times New Roman" w:eastAsia="宋体"/>
                <w:b w:val="0"/>
                <w:sz w:val="24"/>
              </w:rPr>
              <w:t>"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p.2208（R0）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③ </w:t>
            </w:r>
            <w:r>
              <w:rPr>
                <w:rFonts w:ascii="Times New Roman" w:hAnsi="Times New Roman" w:eastAsia="宋体"/>
                <w:b/>
                <w:sz w:val="24"/>
              </w:rPr>
              <w:t>提供"为什么 Mn 能改 Ru"的设计学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Ni/Co 取代 RuO₂ 活化</w:t>
            </w:r>
            <w:r>
              <w:rPr>
                <w:rFonts w:ascii="Times New Roman" w:hAnsi="Times New Roman" w:eastAsia="宋体"/>
                <w:b/>
                <w:sz w:val="24"/>
              </w:rPr>
              <w:t>桥位氧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作质子受体 → HOO∗–HO∗ 差降到 </w:t>
            </w:r>
            <w:r>
              <w:rPr>
                <w:rFonts w:ascii="Times New Roman" w:hAnsi="Times New Roman" w:eastAsia="宋体"/>
                <w:b/>
                <w:sz w:val="24"/>
              </w:rPr>
              <w:t>3.2 eV 以下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；Ni、Co 取代后最大自由能步 </w:t>
            </w:r>
            <w:r>
              <w:rPr>
                <w:rFonts w:ascii="Times New Roman" w:hAnsi="Times New Roman" w:eastAsia="宋体"/>
                <w:b/>
                <w:sz w:val="24"/>
              </w:rPr>
              <w:t>1.49 / 1.33 eV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（过电位 </w:t>
            </w:r>
            <w:r>
              <w:rPr>
                <w:rFonts w:ascii="Times New Roman" w:hAnsi="Times New Roman" w:eastAsia="宋体"/>
                <w:b/>
                <w:sz w:val="24"/>
              </w:rPr>
              <w:t>0.26 / 0.10 eV</w:t>
            </w:r>
            <w:r>
              <w:rPr>
                <w:rFonts w:ascii="Times New Roman" w:hAnsi="Times New Roman" w:eastAsia="宋体"/>
                <w:b w:val="0"/>
                <w:sz w:val="24"/>
              </w:rPr>
              <w:t>）</w:t>
            </w:r>
            <w:r>
              <w:rPr>
                <w:rFonts w:ascii="Times New Roman" w:hAnsi="Times New Roman" w:eastAsia="宋体"/>
                <w:b/>
                <w:sz w:val="24"/>
              </w:rPr>
              <w:t>远低于火山顶 0.37 eV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；Mn³⁺ 恰提供 </w:t>
            </w:r>
            <w:r>
              <w:rPr>
                <w:rFonts w:ascii="Times New Roman" w:hAnsi="Times New Roman" w:eastAsia="宋体"/>
                <w:b/>
                <w:sz w:val="24"/>
              </w:rPr>
              <w:t>e_g = 1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的最优占据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pp.2203–2204、p.2200（R0）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逐页对应（10 页版）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52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页</w:t>
            </w:r>
          </w:p>
        </w:tc>
        <w:tc>
          <w:tcPr>
            <w:tcW w:type="dxa" w:w="374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用它的什么</w:t>
            </w:r>
          </w:p>
        </w:tc>
        <w:tc>
          <w:tcPr>
            <w:tcW w:type="dxa" w:w="319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怎么用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P2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Background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p.2208 三句：PEM 局部酸性 / Ir 稀缺且 IrO₂ 也溶 / 碱性受 OH⁻ 迁移率限制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开场铺垫"为什么做酸性 + 为什么要稳定化"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P3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Ru 的活性-稳定悖论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p.2202：O p 带中心越靠近费米能级 → 活性越高、稳定性越低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一句话把课题定性为"受稳定性约束的设计问题"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P5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文献综述（MnO₂ 可否用于酸）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p.2208：γ-MnO₂ 8000 h + Ti/Ge 掺杂稳定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与偏 AEM-5 §6 的 Ru/α-MnO₂ 先例并列，形成"MnO₂ 在酸里站得住"的双证据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P6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Gap &amp; hypothesis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pp.2203–2204 的质子受体设计学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论证"Mn 作为同族桥位氧活化剂"的合理性（R2）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P7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Risk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p.2202（trade-off）+ p.2208（工作窗口是硬约束）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为 go/no-go 实验提供文献依据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P9/P10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对比表与判据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Table 1（pp.2207–2208，23 个催化剂的设计参数与活性位；1–19 AEM、20–23 LOM）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做文献对比表时引用；也用于"我们的判据对标谁"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可直接说的英文（3 句，背下来）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i/>
          <w:sz w:val="24"/>
        </w:rPr>
        <w:t>"Acidic OER is not only a catalysis problem but a stability-constrained design problem: the O p-band centre trade-off means higher activity usually costs stability (Chem. Soc. Rev. 2020, p. 2202)."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i/>
          <w:sz w:val="24"/>
        </w:rPr>
        <w:t>"MnO₂ is not merely an alkaline catalyst — γ-MnO₂ has been reported to operate for 8000 hours at pH 2, and Ti or Ge doping stabilises its reaction terminus (p. 2208). The same work warns that finding a suitable potential window is essential."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i/>
          <w:sz w:val="24"/>
        </w:rPr>
        <w:t>"Breaking the scaling relation with proton acceptors is the design logic we borrow: Ni or Co substitution in RuO₂ activates bridging oxygen and lowers the potential-determining step to 0.26–0.10 V, below the 0.37 V volcano limit (pp. 2203–2204). Manganese is our candidate for the same role."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读完自检（口头 30 秒/题）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</w:t>
      </w:r>
      <w:r>
        <w:rPr>
          <w:rFonts w:ascii="Times New Roman" w:hAnsi="Times New Roman" w:eastAsia="宋体"/>
          <w:b/>
          <w:sz w:val="24"/>
        </w:rPr>
        <w:t>0.37 V</w:t>
      </w:r>
      <w:r>
        <w:rPr>
          <w:rFonts w:ascii="Times New Roman" w:hAnsi="Times New Roman" w:eastAsia="宋体"/>
          <w:b w:val="0"/>
          <w:sz w:val="24"/>
        </w:rPr>
        <w:t xml:space="preserve"> 是怎么来的？（HO∗ 与 HOO∗ 吸附能被近似常数耦合 → 四步不能同时最优 → 火山顶理论最低过电位）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</w:t>
      </w:r>
      <w:r>
        <w:rPr>
          <w:rFonts w:ascii="Times New Roman" w:hAnsi="Times New Roman" w:eastAsia="宋体"/>
          <w:b/>
          <w:sz w:val="24"/>
        </w:rPr>
        <w:t>3.2 eV</w:t>
      </w:r>
      <w:r>
        <w:rPr>
          <w:rFonts w:ascii="Times New Roman" w:hAnsi="Times New Roman" w:eastAsia="宋体"/>
          <w:b w:val="0"/>
          <w:sz w:val="24"/>
        </w:rPr>
        <w:t xml:space="preserve"> 指什么？质子受体策略怎么把它压下去？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为什么 </w:t>
      </w:r>
      <w:r>
        <w:rPr>
          <w:rFonts w:ascii="Times New Roman" w:hAnsi="Times New Roman" w:eastAsia="宋体"/>
          <w:b/>
          <w:sz w:val="24"/>
        </w:rPr>
        <w:t>Mn³⁺</w:t>
      </w:r>
      <w:r>
        <w:rPr>
          <w:rFonts w:ascii="Times New Roman" w:hAnsi="Times New Roman" w:eastAsia="宋体"/>
          <w:b w:val="0"/>
          <w:sz w:val="24"/>
        </w:rPr>
        <w:t xml:space="preserve"> 有资格扮演"桥位氧活化剂"？（同族过渡金属 + e_g = 1 最优占据 + AEM-5 把它列为 </w:t>
      </w:r>
      <w:r>
        <w:rPr>
          <w:rFonts w:ascii="Times New Roman" w:hAnsi="Times New Roman" w:eastAsia="宋体"/>
          <w:b/>
          <w:sz w:val="24"/>
        </w:rPr>
        <w:t>OER 惰性掺杂元素</w:t>
      </w:r>
      <w:r>
        <w:rPr>
          <w:rFonts w:ascii="Times New Roman" w:hAnsi="Times New Roman" w:eastAsia="宋体"/>
          <w:b w:val="0"/>
          <w:sz w:val="24"/>
        </w:rPr>
        <w:t>，不抢活性位）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缺口（写 pre 时要绕开）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2020 年成文</w:t>
      </w:r>
      <w:r>
        <w:rPr>
          <w:rFonts w:ascii="Times New Roman" w:hAnsi="Times New Roman" w:eastAsia="宋体"/>
          <w:b w:val="0"/>
          <w:sz w:val="24"/>
        </w:rPr>
        <w:t xml:space="preserve"> → 不含 2021 年后的 Ru/MnO₂ 直接先例（Lin 2021、JACS 2026、Nat. Commun. 2026）。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无定量溶出数据</w:t>
      </w:r>
      <w:r>
        <w:rPr>
          <w:rFonts w:ascii="Times New Roman" w:hAnsi="Times New Roman" w:eastAsia="宋体"/>
          <w:b w:val="0"/>
          <w:sz w:val="24"/>
        </w:rPr>
        <w:t xml:space="preserve">（无 S-number、无 ICP-MS 溶出速率）→ 稳定性量化仍要另找原始文献（Cherevko 组；Li et al. </w:t>
      </w:r>
      <w:r>
        <w:rPr>
          <w:rFonts w:ascii="Times New Roman" w:hAnsi="Times New Roman" w:eastAsia="宋体"/>
          <w:b w:val="0"/>
          <w:i/>
          <w:sz w:val="24"/>
        </w:rPr>
        <w:t>Angew.</w:t>
      </w:r>
      <w:r>
        <w:rPr>
          <w:rFonts w:ascii="Times New Roman" w:hAnsi="Times New Roman" w:eastAsia="宋体"/>
          <w:b w:val="0"/>
          <w:sz w:val="24"/>
        </w:rPr>
        <w:t xml:space="preserve"> 2019, 58, 5054）。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对 MnO₂ 只是顺带两句话，</w:t>
      </w:r>
      <w:r>
        <w:rPr>
          <w:rFonts w:ascii="Times New Roman" w:hAnsi="Times New Roman" w:eastAsia="宋体"/>
          <w:b/>
          <w:sz w:val="24"/>
        </w:rPr>
        <w:t>不是</w:t>
      </w:r>
      <w:r>
        <w:rPr>
          <w:rFonts w:ascii="Times New Roman" w:hAnsi="Times New Roman" w:eastAsia="宋体"/>
          <w:b w:val="0"/>
          <w:sz w:val="24"/>
        </w:rPr>
        <w:t>系统综述 → "MnO₂ 在酸性 OER 中的行为"须自建基线。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