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AEM-5 五个问题与标准答案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编制日期：2026年09月20日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用法：带着这 5 个问题读第 6 / 5 / 3–4 节，读完先自己答，再对标准答案。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证据分级：R0=原文事实（附页码）｜R1=外部背景｜R2=推断。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读前问题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怎么</w:t>
      </w:r>
      <w:r>
        <w:rPr>
          <w:rFonts w:ascii="Times New Roman" w:hAnsi="Times New Roman" w:eastAsia="宋体"/>
          <w:b/>
          <w:sz w:val="24"/>
        </w:rPr>
        <w:t>证明</w:t>
      </w:r>
      <w:r>
        <w:rPr>
          <w:rFonts w:ascii="Times New Roman" w:hAnsi="Times New Roman" w:eastAsia="宋体"/>
          <w:b w:val="0"/>
          <w:sz w:val="24"/>
        </w:rPr>
        <w:t>"重构发生了"？（判据 / 证据链）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为什么重构衍生的 MOOH 比直接合成的更活？六因素里哪些与</w:t>
      </w:r>
      <w:r>
        <w:rPr>
          <w:rFonts w:ascii="Times New Roman" w:hAnsi="Times New Roman" w:eastAsia="宋体"/>
          <w:b/>
          <w:sz w:val="24"/>
        </w:rPr>
        <w:t>界面、应变、氧带位置</w:t>
      </w:r>
      <w:r>
        <w:rPr>
          <w:rFonts w:ascii="Times New Roman" w:hAnsi="Times New Roman" w:eastAsia="宋体"/>
          <w:b w:val="0"/>
          <w:sz w:val="24"/>
        </w:rPr>
        <w:t>有关？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酸性</w:t>
      </w:r>
      <w:r>
        <w:rPr>
          <w:rFonts w:ascii="Times New Roman" w:hAnsi="Times New Roman" w:eastAsia="宋体"/>
          <w:b w:val="0"/>
          <w:sz w:val="24"/>
        </w:rPr>
        <w:t>下 Ru 失稳的两条通道分别怎么抑制？哪些已被实验验证？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组里推荐的</w:t>
      </w:r>
      <w:r>
        <w:rPr>
          <w:rFonts w:ascii="Times New Roman" w:hAnsi="Times New Roman" w:eastAsia="宋体"/>
          <w:b/>
          <w:sz w:val="24"/>
        </w:rPr>
        <w:t>表征组合与探测深度</w:t>
      </w:r>
      <w:r>
        <w:rPr>
          <w:rFonts w:ascii="Times New Roman" w:hAnsi="Times New Roman" w:eastAsia="宋体"/>
          <w:b w:val="0"/>
          <w:sz w:val="24"/>
        </w:rPr>
        <w:t>分别是哪些？哪些必做、哪些有条件才做？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活化协议（CV vs CP）</w:t>
      </w:r>
      <w:r>
        <w:rPr>
          <w:rFonts w:ascii="Times New Roman" w:hAnsi="Times New Roman" w:eastAsia="宋体"/>
          <w:b w:val="0"/>
          <w:sz w:val="24"/>
        </w:rPr>
        <w:t>如何改变结构？为什么必须写成实验变量？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标准答案（读完再对）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Q1｜怎么证明"重构发生了"？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：判据是三条腿——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① </w:t>
      </w:r>
      <w:r>
        <w:rPr>
          <w:rFonts w:ascii="Times New Roman" w:hAnsi="Times New Roman" w:eastAsia="宋体"/>
          <w:b/>
          <w:sz w:val="24"/>
        </w:rPr>
        <w:t>原位/operando 谱学</w:t>
      </w:r>
      <w:r>
        <w:rPr>
          <w:rFonts w:ascii="Times New Roman" w:hAnsi="Times New Roman" w:eastAsia="宋体"/>
          <w:b w:val="0"/>
          <w:sz w:val="24"/>
        </w:rPr>
        <w:t>：in situ Raman 看到新相振动峰（NiNPS 体系 0.2 V 出现 463/491 cm⁻¹，0.3–0.5 V 出现 γ-NiOOH 的 477/577 cm⁻¹ 双峰；CoOOH@Fe₃O₄ 体系 1.4 V 出现 CoOOH 峰、FTIR 于 1020 cm⁻¹ 捕获 ∗OOH）；operando XAS 跟踪相变；in situ ETEM 看结构振荡（SrCoO₃₋δ 振荡仅限约 1 nm 表层）。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② </w:t>
      </w:r>
      <w:r>
        <w:rPr>
          <w:rFonts w:ascii="Times New Roman" w:hAnsi="Times New Roman" w:eastAsia="宋体"/>
          <w:b/>
          <w:sz w:val="24"/>
        </w:rPr>
        <w:t>反应前后配对表征</w:t>
      </w:r>
      <w:r>
        <w:rPr>
          <w:rFonts w:ascii="Times New Roman" w:hAnsi="Times New Roman" w:eastAsia="宋体"/>
          <w:b w:val="0"/>
          <w:sz w:val="24"/>
        </w:rPr>
        <w:t>：XRD/Raman/XPS + (HR)TEM/EDS 配对，原则是"</w:t>
      </w:r>
      <w:r>
        <w:rPr>
          <w:rFonts w:ascii="Times New Roman" w:hAnsi="Times New Roman" w:eastAsia="宋体"/>
          <w:b/>
          <w:sz w:val="24"/>
        </w:rPr>
        <w:t>先完全重构、再解析结构</w:t>
      </w:r>
      <w:r>
        <w:rPr>
          <w:rFonts w:ascii="Times New Roman" w:hAnsi="Times New Roman" w:eastAsia="宋体"/>
          <w:b w:val="0"/>
          <w:sz w:val="24"/>
        </w:rPr>
        <w:t>"；用 ¹⁸O 标记判断晶格氧是否参与（CoCr₂O₄ 在 &gt;1.6 V 生成 Co 羟基氧化物，但晶格氧未参与析氧、而是溶入电解液）。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③ </w:t>
      </w:r>
      <w:r>
        <w:rPr>
          <w:rFonts w:ascii="Times New Roman" w:hAnsi="Times New Roman" w:eastAsia="宋体"/>
          <w:b/>
          <w:sz w:val="24"/>
        </w:rPr>
        <w:t>元素再分布</w:t>
      </w:r>
      <w:r>
        <w:rPr>
          <w:rFonts w:ascii="Times New Roman" w:hAnsi="Times New Roman" w:eastAsia="宋体"/>
          <w:b w:val="0"/>
          <w:sz w:val="24"/>
        </w:rPr>
        <w:t>：APT 看长测后元素比漂移（Co₂FeO₄ 100→1000 循环 Co/Fe 比持续升高＝Fe 优先溶解；2–3 nm 富氧层 O/M 由约 1.4→约 1.8）。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：pp.6、11–13（R0）；</w:t>
      </w:r>
      <w:r>
        <w:rPr>
          <w:rFonts w:ascii="Times New Roman" w:hAnsi="Times New Roman" w:eastAsia="宋体"/>
          <w:b/>
          <w:sz w:val="24"/>
        </w:rPr>
        <w:t>完全重构可能需 ≥8 h</w:t>
      </w:r>
      <w:r>
        <w:rPr>
          <w:rFonts w:ascii="Times New Roman" w:hAnsi="Times New Roman" w:eastAsia="宋体"/>
          <w:b w:val="0"/>
          <w:sz w:val="24"/>
        </w:rPr>
        <w:t>（p.13，R0）。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对你的含义（R2）</w:t>
      </w:r>
      <w:r>
        <w:rPr>
          <w:rFonts w:ascii="Times New Roman" w:hAnsi="Times New Roman" w:eastAsia="宋体"/>
          <w:b w:val="0"/>
          <w:sz w:val="24"/>
        </w:rPr>
        <w:t>：同一套用于验证"电沉积 MnO₂ 是否重构、是否长出 Ru–O–Mn 界面"——in situ Raman（Mn–O 振动 + MnO₄⁻ 839 cm⁻¹ 判溶解）× operando Mn/Ru K-edge XAS × 反应前后配对 × ICP 分段取样。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Q2｜为什么重构衍生 MOOH 更活？哪几个因素与你的课题有关？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：六因素——① 暴露更多活性位（CoOOH 活性几乎只由</w:t>
      </w:r>
      <w:r>
        <w:rPr>
          <w:rFonts w:ascii="Times New Roman" w:hAnsi="Times New Roman" w:eastAsia="宋体"/>
          <w:b/>
          <w:sz w:val="24"/>
        </w:rPr>
        <w:t>边缘晶面</w:t>
      </w:r>
      <w:r>
        <w:rPr>
          <w:rFonts w:ascii="Times New Roman" w:hAnsi="Times New Roman" w:eastAsia="宋体"/>
          <w:b w:val="0"/>
          <w:sz w:val="24"/>
        </w:rPr>
        <w:t>贡献）；② 残留阳离子掺杂（V-Ni₂P/NF 中 V 0.51→0.33 w/w% 残余掺入 NiOOH，221 mV；Fe 掺杂 CoAl₂O₄ 中 Fe 抬高 O 2p 带中心触发 LOM 与重构，而 Al³⁺ 溶出形成阳离子空位又使 O 2p 带下移、晶格氧失活 →「</w:t>
      </w:r>
      <w:r>
        <w:rPr>
          <w:rFonts w:ascii="Times New Roman" w:hAnsi="Times New Roman" w:eastAsia="宋体"/>
          <w:b/>
          <w:sz w:val="24"/>
        </w:rPr>
        <w:t>自终止重构</w:t>
      </w:r>
      <w:r>
        <w:rPr>
          <w:rFonts w:ascii="Times New Roman" w:hAnsi="Times New Roman" w:eastAsia="宋体"/>
          <w:b w:val="0"/>
          <w:sz w:val="24"/>
        </w:rPr>
        <w:t xml:space="preserve">」）；③ 不饱和配位/氧空位（非晶 NiFeMo 富氧空位 EPR g=2.002；NR-Ni(OH)₂ 边缘 4/6 配位交替，162 mV，DFT ∗OOH 速控步 0.362 V vs β-NiOOH 0.62 V）；④ 含氧阴离子吸附（SO₄²⁻ 促进重构）；⑤ </w:t>
      </w:r>
      <w:r>
        <w:rPr>
          <w:rFonts w:ascii="Times New Roman" w:hAnsi="Times New Roman" w:eastAsia="宋体"/>
          <w:b/>
          <w:sz w:val="24"/>
        </w:rPr>
        <w:t>杂化界面</w:t>
      </w:r>
      <w:r>
        <w:rPr>
          <w:rFonts w:ascii="Times New Roman" w:hAnsi="Times New Roman" w:eastAsia="宋体"/>
          <w:b w:val="0"/>
          <w:sz w:val="24"/>
        </w:rPr>
        <w:t>（Co–Mo₂C 中 Co 快速重构为 γ-CoOOH、表面富 Mo，</w:t>
      </w:r>
      <w:r>
        <w:rPr>
          <w:rFonts w:ascii="Times New Roman" w:hAnsi="Times New Roman" w:eastAsia="宋体"/>
          <w:b/>
          <w:sz w:val="24"/>
        </w:rPr>
        <w:t>Mo 经桥氧 O²⁻ 向 Co 转移电子</w:t>
      </w:r>
      <w:r>
        <w:rPr>
          <w:rFonts w:ascii="Times New Roman" w:hAnsi="Times New Roman" w:eastAsia="宋体"/>
          <w:b w:val="0"/>
          <w:sz w:val="24"/>
        </w:rPr>
        <w:t xml:space="preserve">，190 mV）；⑥ </w:t>
      </w:r>
      <w:r>
        <w:rPr>
          <w:rFonts w:ascii="Times New Roman" w:hAnsi="Times New Roman" w:eastAsia="宋体"/>
          <w:b/>
          <w:sz w:val="24"/>
        </w:rPr>
        <w:t>e_g∗ 带展宽</w:t>
      </w:r>
      <w:r>
        <w:rPr>
          <w:rFonts w:ascii="Times New Roman" w:hAnsi="Times New Roman" w:eastAsia="宋体"/>
          <w:b w:val="0"/>
          <w:sz w:val="24"/>
        </w:rPr>
        <w:t>（Ni–O 键长 2.05876→2.03916 Å 依次缩短、NiO₆ 畸变增大、O K-edge 534.0 eV 峰变低变宽；脉冲伏安证明促进电子外传；作者已排除氧空位/阳离子空位/电导率/掺杂为主因）。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：pp.7–11、14–15（R0）。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与你直接相关的三个</w:t>
      </w:r>
      <w:r>
        <w:rPr>
          <w:rFonts w:ascii="Times New Roman" w:hAnsi="Times New Roman" w:eastAsia="宋体"/>
          <w:b w:val="0"/>
          <w:sz w:val="24"/>
        </w:rPr>
        <w:t xml:space="preserve">：⑥ 应变/畸变 → e_g∗ 展宽（对应"界面应变"）；② 残留掺杂 + 自终止重构（对应"Ru 部分进入 MnO₂ 骨架"）；⑤ 杂化界面 + </w:t>
      </w:r>
      <w:r>
        <w:rPr>
          <w:rFonts w:ascii="Times New Roman" w:hAnsi="Times New Roman" w:eastAsia="宋体"/>
          <w:b/>
          <w:sz w:val="24"/>
        </w:rPr>
        <w:t>桥氧电子转移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Co–Mo₂C 里 Mo 经桥氧向 Co 转移电子，是你"Ru–O–Mn 界面电子耦合"的同构案例</w:t>
      </w:r>
      <w:r>
        <w:rPr>
          <w:rFonts w:ascii="Times New Roman" w:hAnsi="Times New Roman" w:eastAsia="宋体"/>
          <w:b w:val="0"/>
          <w:sz w:val="24"/>
        </w:rPr>
        <w:t>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Q3｜酸性下 Ru 失稳的两条通道与抑制手段？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：通道 ① </w:t>
      </w:r>
      <w:r>
        <w:rPr>
          <w:rFonts w:ascii="Times New Roman" w:hAnsi="Times New Roman" w:eastAsia="宋体"/>
          <w:b/>
          <w:sz w:val="24"/>
        </w:rPr>
        <w:t>过氧化为可溶 RuO₄</w:t>
      </w:r>
      <w:r>
        <w:rPr>
          <w:rFonts w:ascii="Times New Roman" w:hAnsi="Times New Roman" w:eastAsia="宋体"/>
          <w:b w:val="0"/>
          <w:sz w:val="24"/>
        </w:rPr>
        <w:t xml:space="preserve">；通道 ② </w:t>
      </w:r>
      <w:r>
        <w:rPr>
          <w:rFonts w:ascii="Times New Roman" w:hAnsi="Times New Roman" w:eastAsia="宋体"/>
          <w:b/>
          <w:sz w:val="24"/>
        </w:rPr>
        <w:t>LOM 参与析氧</w:t>
      </w:r>
      <w:r>
        <w:rPr>
          <w:rFonts w:ascii="Times New Roman" w:hAnsi="Times New Roman" w:eastAsia="宋体"/>
          <w:b w:val="0"/>
          <w:sz w:val="24"/>
        </w:rPr>
        <w:t>。抑制手段两类：把金属</w:t>
      </w:r>
      <w:r>
        <w:rPr>
          <w:rFonts w:ascii="Times New Roman" w:hAnsi="Times New Roman" w:eastAsia="宋体"/>
          <w:b/>
          <w:sz w:val="24"/>
        </w:rPr>
        <w:t>限域为单原子位点</w:t>
      </w:r>
      <w:r>
        <w:rPr>
          <w:rFonts w:ascii="Times New Roman" w:hAnsi="Times New Roman" w:eastAsia="宋体"/>
          <w:b w:val="0"/>
          <w:sz w:val="24"/>
        </w:rPr>
        <w:t>；或</w:t>
      </w:r>
      <w:r>
        <w:rPr>
          <w:rFonts w:ascii="Times New Roman" w:hAnsi="Times New Roman" w:eastAsia="宋体"/>
          <w:b/>
          <w:sz w:val="24"/>
        </w:rPr>
        <w:t>提高氧空位形成能</w:t>
      </w:r>
      <w:r>
        <w:rPr>
          <w:rFonts w:ascii="Times New Roman" w:hAnsi="Times New Roman" w:eastAsia="宋体"/>
          <w:b w:val="0"/>
          <w:sz w:val="24"/>
        </w:rPr>
        <w:t xml:space="preserve">（W/Er 共掺杂 RuO₂：O 2p 带中心下移、远离费米能级 → 不利氧空位生成 → </w:t>
      </w:r>
      <w:r>
        <w:rPr>
          <w:rFonts w:ascii="Times New Roman" w:hAnsi="Times New Roman" w:eastAsia="宋体"/>
          <w:b/>
          <w:sz w:val="24"/>
        </w:rPr>
        <w:t>168 mV、酸性 500 h</w:t>
      </w:r>
      <w:r>
        <w:rPr>
          <w:rFonts w:ascii="Times New Roman" w:hAnsi="Times New Roman" w:eastAsia="宋体"/>
          <w:b w:val="0"/>
          <w:sz w:val="24"/>
        </w:rPr>
        <w:t>）。同体系已被验证的先例：</w:t>
      </w:r>
      <w:r>
        <w:rPr>
          <w:rFonts w:ascii="Times New Roman" w:hAnsi="Times New Roman" w:eastAsia="宋体"/>
          <w:b/>
          <w:sz w:val="24"/>
        </w:rPr>
        <w:t>Lin C. 等 Ru/α-MnO₂</w:t>
      </w:r>
      <w:r>
        <w:rPr>
          <w:rFonts w:ascii="Times New Roman" w:hAnsi="Times New Roman" w:eastAsia="宋体"/>
          <w:b w:val="0"/>
          <w:sz w:val="24"/>
        </w:rPr>
        <w:t xml:space="preserve"> 阳离子交换 → 原位重构出 Ru 原子阵列 → 位点对称、走 </w:t>
      </w:r>
      <w:r>
        <w:rPr>
          <w:rFonts w:ascii="Times New Roman" w:hAnsi="Times New Roman" w:eastAsia="宋体"/>
          <w:b/>
          <w:sz w:val="24"/>
        </w:rPr>
        <w:t>OPM 不形成氧空位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161 mV、&gt;200 h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：pp.15–16（R0）。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对你的含义（R2）</w:t>
      </w:r>
      <w:r>
        <w:rPr>
          <w:rFonts w:ascii="Times New Roman" w:hAnsi="Times New Roman" w:eastAsia="宋体"/>
          <w:b w:val="0"/>
          <w:sz w:val="24"/>
        </w:rPr>
        <w:t xml:space="preserve">：你的假设是"提高氧空位形成能"这条的 </w:t>
      </w:r>
      <w:r>
        <w:rPr>
          <w:rFonts w:ascii="Times New Roman" w:hAnsi="Times New Roman" w:eastAsia="宋体"/>
          <w:b/>
          <w:sz w:val="24"/>
        </w:rPr>
        <w:t>MnO₂ 版</w:t>
      </w:r>
      <w:r>
        <w:rPr>
          <w:rFonts w:ascii="Times New Roman" w:hAnsi="Times New Roman" w:eastAsia="宋体"/>
          <w:b w:val="0"/>
          <w:sz w:val="24"/>
        </w:rPr>
        <w:t>——用 Mn 的氧化还原性与表面羟基缓冲 Ru 的氧化电荷，把界面氧的能带位置与氧空位形成能</w:t>
      </w:r>
      <w:r>
        <w:rPr>
          <w:rFonts w:ascii="Times New Roman" w:hAnsi="Times New Roman" w:eastAsia="宋体"/>
          <w:b/>
          <w:sz w:val="24"/>
        </w:rPr>
        <w:t>推出溶解窗口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Q4｜组里推荐的表征组合与探测深度？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探测深度</w:t>
      </w:r>
      <w:r>
        <w:rPr>
          <w:rFonts w:ascii="Times New Roman" w:hAnsi="Times New Roman" w:eastAsia="宋体"/>
          <w:b w:val="0"/>
          <w:sz w:val="24"/>
        </w:rPr>
        <w:t>：软 XAS（PEY/FY）、Raman、FTIR、XPS、APT、EPR、TEM、SEM 偏</w:t>
      </w:r>
      <w:r>
        <w:rPr>
          <w:rFonts w:ascii="Times New Roman" w:hAnsi="Times New Roman" w:eastAsia="宋体"/>
          <w:b/>
          <w:sz w:val="24"/>
        </w:rPr>
        <w:t>表面敏感</w:t>
      </w:r>
      <w:r>
        <w:rPr>
          <w:rFonts w:ascii="Times New Roman" w:hAnsi="Times New Roman" w:eastAsia="宋体"/>
          <w:b w:val="0"/>
          <w:sz w:val="24"/>
        </w:rPr>
        <w:t>；硬 XAS 与 XRD 反映</w:t>
      </w:r>
      <w:r>
        <w:rPr>
          <w:rFonts w:ascii="Times New Roman" w:hAnsi="Times New Roman" w:eastAsia="宋体"/>
          <w:b/>
          <w:sz w:val="24"/>
        </w:rPr>
        <w:t>体相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动态过程</w:t>
      </w:r>
      <w:r>
        <w:rPr>
          <w:rFonts w:ascii="Times New Roman" w:hAnsi="Times New Roman" w:eastAsia="宋体"/>
          <w:b w:val="0"/>
          <w:sz w:val="24"/>
        </w:rPr>
        <w:t>：in situ ETEM、in situ Raman/FTIR、APT、operando XAS。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静态解析</w:t>
      </w:r>
      <w:r>
        <w:rPr>
          <w:rFonts w:ascii="Times New Roman" w:hAnsi="Times New Roman" w:eastAsia="宋体"/>
          <w:b w:val="0"/>
          <w:sz w:val="24"/>
        </w:rPr>
        <w:t>：XAS（白线强度→NiO₆ 畸变程度；O K-edge→e_g∗ 展宽）、EPR（氧空位 g≈2.002、高自旋 Co³⁺）、ABF-STEM、DFT/AIMD。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归一化纪律</w:t>
      </w:r>
      <w:r>
        <w:rPr>
          <w:rFonts w:ascii="Times New Roman" w:hAnsi="Times New Roman" w:eastAsia="宋体"/>
          <w:b w:val="0"/>
          <w:sz w:val="24"/>
        </w:rPr>
        <w:t>：本征活性必须扣除表面积与载量贡献，给出几何 / ECSA / 质量三重口径。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：pp.9、11–15（R0）。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落到你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必做</w:t>
      </w:r>
      <w:r>
        <w:rPr>
          <w:rFonts w:ascii="Times New Roman" w:hAnsi="Times New Roman" w:eastAsia="宋体"/>
          <w:b w:val="0"/>
          <w:sz w:val="24"/>
        </w:rPr>
        <w:t xml:space="preserve"> XRD+Raman+XPS+HRTEM/EDS 配对、LSV/Tafel/EIS、ICP 分段；</w:t>
      </w:r>
      <w:r>
        <w:rPr>
          <w:rFonts w:ascii="Times New Roman" w:hAnsi="Times New Roman" w:eastAsia="宋体"/>
          <w:b/>
          <w:sz w:val="24"/>
        </w:rPr>
        <w:t>进阶</w:t>
      </w:r>
      <w:r>
        <w:rPr>
          <w:rFonts w:ascii="Times New Roman" w:hAnsi="Times New Roman" w:eastAsia="宋体"/>
          <w:b w:val="0"/>
          <w:sz w:val="24"/>
        </w:rPr>
        <w:t xml:space="preserve"> operando XAS、EPR、O K-edge 软 XAS；</w:t>
      </w:r>
      <w:r>
        <w:rPr>
          <w:rFonts w:ascii="Times New Roman" w:hAnsi="Times New Roman" w:eastAsia="宋体"/>
          <w:b/>
          <w:sz w:val="24"/>
        </w:rPr>
        <w:t>可选</w:t>
      </w:r>
      <w:r>
        <w:rPr>
          <w:rFonts w:ascii="Times New Roman" w:hAnsi="Times New Roman" w:eastAsia="宋体"/>
          <w:b w:val="0"/>
          <w:sz w:val="24"/>
        </w:rPr>
        <w:t xml:space="preserve"> APT、ABF-STEM（R2）。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Q5｜为什么"活化协议"必须写成实验变量？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：因为</w:t>
      </w:r>
      <w:r>
        <w:rPr>
          <w:rFonts w:ascii="Times New Roman" w:hAnsi="Times New Roman" w:eastAsia="宋体"/>
          <w:b/>
          <w:sz w:val="24"/>
        </w:rPr>
        <w:t>CV 处理导致完全原位氧化，计时电位（CP）只造成部分重构</w:t>
      </w:r>
      <w:r>
        <w:rPr>
          <w:rFonts w:ascii="Times New Roman" w:hAnsi="Times New Roman" w:eastAsia="宋体"/>
          <w:b w:val="0"/>
          <w:sz w:val="24"/>
        </w:rPr>
        <w:t>；重构动力学受电位窗口/时间/阴离子预氧化控制（例：NiS₂ 在 10 mA cm⁻² 下经 Ni(OH)₂ 中转、8 h 内完全转化为 NiOOH；完全重构可能需 ≥8 h）。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：pp.6、13（R0）。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对你的含义</w:t>
      </w:r>
      <w:r>
        <w:rPr>
          <w:rFonts w:ascii="Times New Roman" w:hAnsi="Times New Roman" w:eastAsia="宋体"/>
          <w:b w:val="0"/>
          <w:sz w:val="24"/>
        </w:rPr>
        <w:t>：记录里必须写清"活化 = CV（窗口/扫速/圈数）还是 CP（电流/时长）"，否则不同批次</w:t>
      </w:r>
      <w:r>
        <w:rPr>
          <w:rFonts w:ascii="Times New Roman" w:hAnsi="Times New Roman" w:eastAsia="宋体"/>
          <w:b/>
          <w:sz w:val="24"/>
        </w:rPr>
        <w:t>不是同一种材料</w:t>
      </w:r>
      <w:r>
        <w:rPr>
          <w:rFonts w:ascii="Times New Roman" w:hAnsi="Times New Roman" w:eastAsia="宋体"/>
          <w:b w:val="0"/>
          <w:sz w:val="24"/>
        </w:rPr>
        <w:t>；建议第一个实验固定一种协议，并做 CV/CP 对照，把"重构程度"变成可调参数（R2）。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自检评分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5 题都能不看稿说 30 秒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每题都能说出页码出处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能指出至少 1 条"这篇没回答、需要另找文献"的问题（提示：S-number / ICP 溶出速率 / Tafel 数值均缺失）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