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课题 65 总汇报：低铱 OER 催化剂的科学图景与实验路线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编制日期：2026年09月10日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撰写：DSH 学术助理 ｜ 日期：2026-09-02（V2.1 更新 2026-09-10：五篇全文精读到齐后全面修订——官方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2] 机制纠错 + 补充 4 篇精读要点；官方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1] Science 因全球闭源，改以三级公开来源核实并更正"氧化/还原"方向错误，见 2.1；V3 待原文到手后升级） ｜ 定位：课题65（微波合成低铱 MnO₂–IrO₂ 催化剂 · PEM 水电解耐久析氧）入选后的总学习汇报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内容：① 课题全景与立项逻辑 ② 相关文献总学习（官方 2 篇 + 补充 4 篇 + 方法学）③ </w:t>
      </w:r>
      <w:r>
        <w:rPr>
          <w:rFonts w:ascii="Times New Roman" w:hAnsi="Times New Roman" w:eastAsia="宋体"/>
          <w:b/>
          <w:sz w:val="24"/>
        </w:rPr>
        <w:t>OER 反应过程与背景</w:t>
      </w:r>
      <w:r>
        <w:rPr>
          <w:rFonts w:ascii="Times New Roman" w:hAnsi="Times New Roman" w:eastAsia="宋体"/>
          <w:b w:val="0"/>
          <w:sz w:val="24"/>
        </w:rPr>
        <w:t>（机理/热力学/动力学/评价）④ PEM 电解背景 ⑤ 合成与表征路线 ⑥ 实验设计要点与里程碑</w:t>
      </w:r>
    </w:p>
    <w:p/>
    <w:p>
      <w:pPr>
        <w:spacing w:before="120" w:after="120"/>
        <w:pBdr>
          <w:bottom w:val="single" w:sz="6" w:color="CCCCCC"/>
        </w:pBdr>
      </w:pPr>
    </w:p>
    <w:p/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1. 课题全景：为什么做"低铱"？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绿氢的产业瓶颈不在电解槽本身，而在阳极催化剂。</w:t>
      </w:r>
      <w:r>
        <w:rPr>
          <w:rFonts w:ascii="Times New Roman" w:hAnsi="Times New Roman" w:eastAsia="宋体"/>
          <w:b w:val="0"/>
          <w:sz w:val="24"/>
        </w:rPr>
        <w:t xml:space="preserve"> PEM（质子交换膜）水电解是唯一能直接对接可再生能源波动、产氢纯度最高、电流密度最大的电解技术，但它的阳极工作在</w:t>
      </w:r>
      <w:r>
        <w:rPr>
          <w:rFonts w:ascii="Times New Roman" w:hAnsi="Times New Roman" w:eastAsia="宋体"/>
          <w:b/>
          <w:sz w:val="24"/>
        </w:rPr>
        <w:t>强酸性 + 高氧化电位</w:t>
      </w:r>
      <w:r>
        <w:rPr>
          <w:rFonts w:ascii="Times New Roman" w:hAnsi="Times New Roman" w:eastAsia="宋体"/>
          <w:b w:val="0"/>
          <w:sz w:val="24"/>
        </w:rPr>
        <w:t>环境——这几乎是材料的"火葬场"：绝大多数非贵金属在酸性析氧电位下会溶解，唯一兼具高活性与耐酸性的元素只有 Ir（钌活性更高但溶解更快）。于是 PEM 电解槽被 Ir 供应卡死：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Ir 年产量仅约 8-10 吨（铂矿副产品），全球 PEM 产能扩张直接受其约束；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单台 MW 级 PEM 电解槽阳极 Ir 用量以公斤计，成本占比显著；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产业界共识：</w:t>
      </w:r>
      <w:r>
        <w:rPr>
          <w:rFonts w:ascii="Times New Roman" w:hAnsi="Times New Roman" w:eastAsia="宋体"/>
          <w:b/>
          <w:sz w:val="24"/>
        </w:rPr>
        <w:t>把 Ir 载量从 ~2-3 mg/cm² 降至 &lt;0.5 mg/cm² 甚至更低，同时保持寿命</w:t>
      </w:r>
      <w:r>
        <w:rPr>
          <w:rFonts w:ascii="Times New Roman" w:hAnsi="Times New Roman" w:eastAsia="宋体"/>
          <w:b w:val="0"/>
          <w:sz w:val="24"/>
        </w:rPr>
        <w:t>，是 PEM 大规模部署的头号材料学任务。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课题 65 正是这一产业痛点的直接回应：</w:t>
      </w:r>
      <w:r>
        <w:rPr>
          <w:rFonts w:ascii="Times New Roman" w:hAnsi="Times New Roman" w:eastAsia="宋体"/>
          <w:b/>
          <w:sz w:val="24"/>
        </w:rPr>
        <w:t>用 MnO₂ 做载体与电子结构调节剂，把 IrO₂ 分散成低载量异质结构，在保持活性与耐久性的前提下把 Ir 用出"每一颗都干活"的效率。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2. 相关文献总学习</w:t>
      </w:r>
    </w:p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2.1 官方[1]：Li et al. *Science* 2024, 384, 666（MnO₂ 作氧化剂 → 原子分散六价 IrVI）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这是课题 65 的"直接原型论文"，确立了一条反直觉的合成逻辑：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核心发现（2026-09-09 按替代来源核实后已更正方向）</w:t>
      </w:r>
      <w:r>
        <w:rPr>
          <w:rFonts w:ascii="Times New Roman" w:hAnsi="Times New Roman" w:eastAsia="宋体"/>
          <w:b w:val="0"/>
          <w:sz w:val="24"/>
        </w:rPr>
        <w:t>：MnO₂ 不只是惰性载体——它在此体系中充当</w:t>
      </w:r>
      <w:r>
        <w:rPr>
          <w:rFonts w:ascii="Times New Roman" w:hAnsi="Times New Roman" w:eastAsia="宋体"/>
          <w:b/>
          <w:sz w:val="24"/>
        </w:rPr>
        <w:t>氧化剂</w:t>
      </w:r>
      <w:r>
        <w:rPr>
          <w:rFonts w:ascii="Times New Roman" w:hAnsi="Times New Roman" w:eastAsia="宋体"/>
          <w:b w:val="0"/>
          <w:sz w:val="24"/>
        </w:rPr>
        <w:t>：通过</w:t>
      </w:r>
      <w:r>
        <w:rPr>
          <w:rFonts w:ascii="Times New Roman" w:hAnsi="Times New Roman" w:eastAsia="宋体"/>
          <w:b/>
          <w:sz w:val="24"/>
        </w:rPr>
        <w:t>氧化性配体取代</w:t>
      </w:r>
      <w:r>
        <w:rPr>
          <w:rFonts w:ascii="Times New Roman" w:hAnsi="Times New Roman" w:eastAsia="宋体"/>
          <w:b w:val="0"/>
          <w:sz w:val="24"/>
        </w:rPr>
        <w:t xml:space="preserve">六氯铱酸钾(IV)（K₂IrCl₆），把 Ir </w:t>
      </w:r>
      <w:r>
        <w:rPr>
          <w:rFonts w:ascii="Times New Roman" w:hAnsi="Times New Roman" w:eastAsia="宋体"/>
          <w:b/>
          <w:sz w:val="24"/>
        </w:rPr>
        <w:t>由 +4 价氧化为 +6 价</w:t>
      </w:r>
      <w:r>
        <w:rPr>
          <w:rFonts w:ascii="Times New Roman" w:hAnsi="Times New Roman" w:eastAsia="宋体"/>
          <w:b w:val="0"/>
          <w:sz w:val="24"/>
        </w:rPr>
        <w:t>，配体由 Cl⁻ 交换为 O²⁻，从而在 MnO₂ 表面锚定</w:t>
      </w:r>
      <w:r>
        <w:rPr>
          <w:rFonts w:ascii="Times New Roman" w:hAnsi="Times New Roman" w:eastAsia="宋体"/>
          <w:b/>
          <w:sz w:val="24"/>
        </w:rPr>
        <w:t>原子分散的 IrVI 物种（IrVI-ado）</w:t>
      </w:r>
      <w:r>
        <w:rPr>
          <w:rFonts w:ascii="Times New Roman" w:hAnsi="Times New Roman" w:eastAsia="宋体"/>
          <w:b w:val="0"/>
          <w:sz w:val="24"/>
        </w:rPr>
        <w:t>。立项预判中写的"MnO₂ 把 Ir 还原为 Ir⁶⁺"方向有误（六价是氧化态，不可能由还原得到），特此更正；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催化后果</w:t>
      </w:r>
      <w:r>
        <w:rPr>
          <w:rFonts w:ascii="Times New Roman" w:hAnsi="Times New Roman" w:eastAsia="宋体"/>
          <w:b w:val="0"/>
          <w:sz w:val="24"/>
        </w:rPr>
        <w:t>：IrVI（d³ 构型）是理论预测中酸性 OER 活性与稳定性最高的氧化铱——作者先以</w:t>
      </w:r>
      <w:r>
        <w:rPr>
          <w:rFonts w:ascii="Times New Roman" w:hAnsi="Times New Roman" w:eastAsia="宋体"/>
          <w:b/>
          <w:sz w:val="24"/>
        </w:rPr>
        <w:t>主动学习</w:t>
      </w:r>
      <w:r>
        <w:rPr>
          <w:rFonts w:ascii="Times New Roman" w:hAnsi="Times New Roman" w:eastAsia="宋体"/>
          <w:b w:val="0"/>
          <w:sz w:val="24"/>
        </w:rPr>
        <w:t xml:space="preserve">在数千种氧化铱中筛选出这一结论，再用 MnO₂ 的氧化能力把它实验实现；三电极 1.6 V_RHE 下质量活性为基准 IrO₂ 的 </w:t>
      </w:r>
      <w:r>
        <w:rPr>
          <w:rFonts w:ascii="Times New Roman" w:hAnsi="Times New Roman" w:eastAsia="宋体"/>
          <w:b/>
          <w:sz w:val="24"/>
        </w:rPr>
        <w:t>10 倍</w:t>
      </w:r>
      <w:r>
        <w:rPr>
          <w:rFonts w:ascii="Times New Roman" w:hAnsi="Times New Roman" w:eastAsia="宋体"/>
          <w:b w:val="0"/>
          <w:sz w:val="24"/>
        </w:rPr>
        <w:t xml:space="preserve">，最高质量比活性 </w:t>
      </w:r>
      <w:r>
        <w:rPr>
          <w:rFonts w:ascii="Times New Roman" w:hAnsi="Times New Roman" w:eastAsia="宋体"/>
          <w:b/>
          <w:sz w:val="24"/>
        </w:rPr>
        <w:t>1.7×10⁵ A·g_Ir⁻¹</w:t>
      </w:r>
      <w:r>
        <w:rPr>
          <w:rFonts w:ascii="Times New Roman" w:hAnsi="Times New Roman" w:eastAsia="宋体"/>
          <w:b w:val="0"/>
          <w:sz w:val="24"/>
        </w:rPr>
        <w:t xml:space="preserve">、TON </w:t>
      </w:r>
      <w:r>
        <w:rPr>
          <w:rFonts w:ascii="Times New Roman" w:hAnsi="Times New Roman" w:eastAsia="宋体"/>
          <w:b/>
          <w:sz w:val="24"/>
        </w:rPr>
        <w:t>1.5×10⁸</w:t>
      </w:r>
      <w:r>
        <w:rPr>
          <w:rFonts w:ascii="Times New Roman" w:hAnsi="Times New Roman" w:eastAsia="宋体"/>
          <w:b w:val="0"/>
          <w:sz w:val="24"/>
        </w:rPr>
        <w:t>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方法学启示</w:t>
      </w:r>
      <w:r>
        <w:rPr>
          <w:rFonts w:ascii="Times New Roman" w:hAnsi="Times New Roman" w:eastAsia="宋体"/>
          <w:b w:val="0"/>
          <w:sz w:val="24"/>
        </w:rPr>
        <w:t>（对课题 65 最重要）：</w:t>
      </w:r>
      <w:r>
        <w:rPr>
          <w:rFonts w:ascii="Times New Roman" w:hAnsi="Times New Roman" w:eastAsia="宋体"/>
          <w:b/>
          <w:sz w:val="24"/>
        </w:rPr>
        <w:t>载体参与金属价态调控</w:t>
      </w:r>
      <w:r>
        <w:rPr>
          <w:rFonts w:ascii="Times New Roman" w:hAnsi="Times New Roman" w:eastAsia="宋体"/>
          <w:b w:val="0"/>
          <w:sz w:val="24"/>
        </w:rPr>
        <w:t>（MnO₂ 作为氧化剂/电子受体）可以同时解决"分散度"和"电子结构调控"两个问题。课题 65 的 MnO₂–IrO₂ 异质结构正是这条思路的"纳米颗粒版"——不追求单原子，而追求异质界面的协同；但需注意</w:t>
      </w:r>
      <w:r>
        <w:rPr>
          <w:rFonts w:ascii="Times New Roman" w:hAnsi="Times New Roman" w:eastAsia="宋体"/>
          <w:b/>
          <w:sz w:val="24"/>
        </w:rPr>
        <w:t>微波多元醇体系是还原性环境（乙二醇为还原剂），与本文的氧化性路线方向相反</w:t>
      </w:r>
      <w:r>
        <w:rPr>
          <w:rFonts w:ascii="Times New Roman" w:hAnsi="Times New Roman" w:eastAsia="宋体"/>
          <w:b w:val="0"/>
          <w:sz w:val="24"/>
        </w:rPr>
        <w:t>，两者得到的 Ir 价态分布可能不同，这本身就是一个值得写进毕设的对比科学问题；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对毕设的靶点</w:t>
      </w:r>
      <w:r>
        <w:rPr>
          <w:rFonts w:ascii="Times New Roman" w:hAnsi="Times New Roman" w:eastAsia="宋体"/>
          <w:b w:val="0"/>
          <w:sz w:val="24"/>
        </w:rPr>
        <w:t>：界面电子转移方向（MnO₂ → IrO₂ 或反向）、Ir 氧化态分布（XPS 4f 分峰 + 参考样品标定）、低载量区（&lt;0.1 mg_Ir·cm⁻²）的结构-活性对应。</w:t>
      </w:r>
    </w:p>
    <w:p/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⚠️ </w:t>
      </w:r>
      <w:r>
        <w:rPr>
          <w:rFonts w:ascii="Times New Roman" w:hAnsi="Times New Roman" w:eastAsia="宋体"/>
          <w:b/>
          <w:sz w:val="24"/>
        </w:rPr>
        <w:t>本节为立项时的机制预判，已用三级公开来源核实（2026-09-09）</w:t>
      </w:r>
      <w:r>
        <w:rPr>
          <w:rFonts w:ascii="Times New Roman" w:hAnsi="Times New Roman" w:eastAsia="宋体"/>
          <w:b w:val="0"/>
          <w:sz w:val="24"/>
        </w:rPr>
        <w:t>。原文属</w:t>
      </w:r>
      <w:r>
        <w:rPr>
          <w:rFonts w:ascii="Times New Roman" w:hAnsi="Times New Roman" w:eastAsia="宋体"/>
          <w:b/>
          <w:sz w:val="24"/>
        </w:rPr>
        <w:t>全球闭源</w:t>
      </w:r>
      <w:r>
        <w:rPr>
          <w:rFonts w:ascii="Times New Roman" w:hAnsi="Times New Roman" w:eastAsia="宋体"/>
          <w:b w:val="0"/>
          <w:sz w:val="24"/>
        </w:rPr>
        <w:t xml:space="preserve">（Unpaywall / OpenAlex / Europe PMC 均判 </w:t>
      </w:r>
      <w:r>
        <w:rPr>
          <w:rFonts w:ascii="Consolas" w:hAnsi="Consolas" w:eastAsia="Consolas"/>
          <w:sz w:val="24"/>
          <w:shd w:fill="F0F0F0"/>
        </w:rPr>
        <w:t>closed</w:t>
      </w:r>
      <w:r>
        <w:rPr>
          <w:rFonts w:ascii="Times New Roman" w:hAnsi="Times New Roman" w:eastAsia="宋体"/>
          <w:b w:val="0"/>
          <w:sz w:val="24"/>
        </w:rPr>
        <w:t>，无 PMC/机构库/预印本副本；science.org 未登录访问返回 403）。核实结论：</w:t>
      </w:r>
      <w:r>
        <w:rPr>
          <w:rFonts w:ascii="Times New Roman" w:hAnsi="Times New Roman" w:eastAsia="宋体"/>
          <w:b/>
          <w:sz w:val="24"/>
        </w:rPr>
        <w:t>已证实</w:t>
      </w:r>
      <w:r>
        <w:rPr>
          <w:rFonts w:ascii="Times New Roman" w:hAnsi="Times New Roman" w:eastAsia="宋体"/>
          <w:b w:val="0"/>
          <w:sz w:val="24"/>
        </w:rPr>
        <w:t xml:space="preserve"> ① MnO₂ 作</w:t>
      </w:r>
      <w:r>
        <w:rPr>
          <w:rFonts w:ascii="Times New Roman" w:hAnsi="Times New Roman" w:eastAsia="宋体"/>
          <w:b/>
          <w:sz w:val="24"/>
        </w:rPr>
        <w:t>氧化剂</w:t>
      </w:r>
      <w:r>
        <w:rPr>
          <w:rFonts w:ascii="Times New Roman" w:hAnsi="Times New Roman" w:eastAsia="宋体"/>
          <w:b w:val="0"/>
          <w:sz w:val="24"/>
        </w:rPr>
        <w:t xml:space="preserve">实现 Ir(IV)→Ir(VI)（配体 Cl⁻→O²⁻）；② Ir 原子级分散（HAADF-STEM）；③ HERFD-XANES 定氧化态 </w:t>
      </w:r>
      <w:r>
        <w:rPr>
          <w:rFonts w:ascii="Times New Roman" w:hAnsi="Times New Roman" w:eastAsia="宋体"/>
          <w:b/>
          <w:sz w:val="24"/>
        </w:rPr>
        <w:t>+5.8±0.1</w:t>
      </w:r>
      <w:r>
        <w:rPr>
          <w:rFonts w:ascii="Times New Roman" w:hAnsi="Times New Roman" w:eastAsia="宋体"/>
          <w:b w:val="0"/>
          <w:sz w:val="24"/>
        </w:rPr>
        <w:t xml:space="preserve">（对应 d³ 构型），XPS 显示 IrVI 占主物种 </w:t>
      </w:r>
      <w:r>
        <w:rPr>
          <w:rFonts w:ascii="Times New Roman" w:hAnsi="Times New Roman" w:eastAsia="宋体"/>
          <w:b/>
          <w:sz w:val="24"/>
        </w:rPr>
        <w:t>&gt;80%</w:t>
      </w:r>
      <w:r>
        <w:rPr>
          <w:rFonts w:ascii="Times New Roman" w:hAnsi="Times New Roman" w:eastAsia="宋体"/>
          <w:b w:val="0"/>
          <w:sz w:val="24"/>
        </w:rPr>
        <w:t xml:space="preserve">（三档载量 0.02/0.04/0.08 mg_Ir·cm⁻²）；④ 器件级性能：PEM（Nafion 115、80 °C）2.0 V → </w:t>
      </w:r>
      <w:r>
        <w:rPr>
          <w:rFonts w:ascii="Times New Roman" w:hAnsi="Times New Roman" w:eastAsia="宋体"/>
          <w:b/>
          <w:sz w:val="24"/>
        </w:rPr>
        <w:t>4.0 A·cm⁻²</w:t>
      </w:r>
      <w:r>
        <w:rPr>
          <w:rFonts w:ascii="Times New Roman" w:hAnsi="Times New Roman" w:eastAsia="宋体"/>
          <w:b w:val="0"/>
          <w:sz w:val="24"/>
        </w:rPr>
        <w:t xml:space="preserve">@0.08 mg_Ir·cm⁻²，换 Nafion 212 可达 7.0 A·cm⁻²，长测 1710 h@5×10⁴ A·g_Ir⁻¹（另有 3700 h/2100 h 两组长测），官方新闻稿表述为 </w:t>
      </w:r>
      <w:r>
        <w:rPr>
          <w:rFonts w:ascii="Times New Roman" w:hAnsi="Times New Roman" w:eastAsia="宋体"/>
          <w:b/>
          <w:sz w:val="24"/>
        </w:rPr>
        <w:t>3000+ 小时、82% 效率、无衰减</w:t>
      </w:r>
      <w:r>
        <w:rPr>
          <w:rFonts w:ascii="Times New Roman" w:hAnsi="Times New Roman" w:eastAsia="宋体"/>
          <w:b w:val="0"/>
          <w:sz w:val="24"/>
        </w:rPr>
        <w:t xml:space="preserve">；⑤ 降铱 </w:t>
      </w:r>
      <w:r>
        <w:rPr>
          <w:rFonts w:ascii="Times New Roman" w:hAnsi="Times New Roman" w:eastAsia="宋体"/>
          <w:b/>
          <w:sz w:val="24"/>
        </w:rPr>
        <w:t>95%（新闻稿）/ &gt;96%（第三方解读）</w:t>
      </w:r>
      <w:r>
        <w:rPr>
          <w:rFonts w:ascii="Times New Roman" w:hAnsi="Times New Roman" w:eastAsia="宋体"/>
          <w:b w:val="0"/>
          <w:sz w:val="24"/>
        </w:rPr>
        <w:t xml:space="preserve">，Ir 年产约 8 t、现载量 2–4 mg_Ir·cm⁻² 仅支撑约 </w:t>
      </w:r>
      <w:r>
        <w:rPr>
          <w:rFonts w:ascii="Times New Roman" w:hAnsi="Times New Roman" w:eastAsia="宋体"/>
          <w:b/>
          <w:sz w:val="24"/>
        </w:rPr>
        <w:t>10 GW/yr</w:t>
      </w:r>
      <w:r>
        <w:rPr>
          <w:rFonts w:ascii="Times New Roman" w:hAnsi="Times New Roman" w:eastAsia="宋体"/>
          <w:b w:val="0"/>
          <w:sz w:val="24"/>
        </w:rPr>
        <w:t xml:space="preserve"> 装机——与本课题"低铱"立项动机一致。</w:t>
      </w:r>
      <w:r>
        <w:rPr>
          <w:rFonts w:ascii="Times New Roman" w:hAnsi="Times New Roman" w:eastAsia="宋体"/>
          <w:b/>
          <w:sz w:val="24"/>
        </w:rPr>
        <w:t>仍待原文核对</w:t>
      </w:r>
      <w:r>
        <w:rPr>
          <w:rFonts w:ascii="Times New Roman" w:hAnsi="Times New Roman" w:eastAsia="宋体"/>
          <w:b w:val="0"/>
          <w:sz w:val="24"/>
        </w:rPr>
        <w:t>：95%/&gt;96% 与 3000 h/1710 h 的口径差异、Mn 溶出数据、LOM/AEM 机理归属、补充材料（SM）内容。详见《文献精读-65-Science2024替代精读》第六节《待核对清单》。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2.2 官方[2]：Yang et al. *Adv. Mater.* 2025, 37, 2507560（S 掺杂 IrO₂ → 单中心 LOM + ONB 保护 · 2026-09-09 全文精读）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低铱催化剂最大的敌人不是活性，是</w:t>
      </w:r>
      <w:r>
        <w:rPr>
          <w:rFonts w:ascii="Times New Roman" w:hAnsi="Times New Roman" w:eastAsia="宋体"/>
          <w:b/>
          <w:sz w:val="24"/>
        </w:rPr>
        <w:t>稳定性</w:t>
      </w:r>
      <w:r>
        <w:rPr>
          <w:rFonts w:ascii="Times New Roman" w:hAnsi="Times New Roman" w:eastAsia="宋体"/>
          <w:b w:val="0"/>
          <w:sz w:val="24"/>
        </w:rPr>
        <w:t>（Ir 溶解/催化剂降解）。这篇给出"机制级"的稳定策略——且</w:t>
      </w:r>
      <w:r>
        <w:rPr>
          <w:rFonts w:ascii="Times New Roman" w:hAnsi="Times New Roman" w:eastAsia="宋体"/>
          <w:b/>
          <w:sz w:val="24"/>
        </w:rPr>
        <w:t>与立项初期的预判相反，S 掺杂不是把 IrO₂ 从 LOM"拨回 AEM"，而是把 AEM 切换到单中心 LOM，并用氧非键态（ONB）封住 LOM 的失稳通道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核心机制（R0，以精读为准）</w:t>
      </w:r>
      <w:r>
        <w:rPr>
          <w:rFonts w:ascii="Times New Roman" w:hAnsi="Times New Roman" w:eastAsia="宋体"/>
          <w:b w:val="0"/>
          <w:sz w:val="24"/>
        </w:rPr>
        <w:t xml:space="preserve">：硫脲衍生 S 替位掺杂（Ir─S 配位，总 S 约 1.26 at%）使 IrO₂ 由 AEM 转走 LOM——¹⁸O 标记 DEMS 产物中 ³⁴O₂ 占 38%、无 ³⁶O₂，排除相邻晶格氧偶联 → </w:t>
      </w:r>
      <w:r>
        <w:rPr>
          <w:rFonts w:ascii="Times New Roman" w:hAnsi="Times New Roman" w:eastAsia="宋体"/>
          <w:b/>
          <w:sz w:val="24"/>
        </w:rPr>
        <w:t>单中心 LOM</w:t>
      </w:r>
      <w:r>
        <w:rPr>
          <w:rFonts w:ascii="Times New Roman" w:hAnsi="Times New Roman" w:eastAsia="宋体"/>
          <w:b w:val="0"/>
          <w:sz w:val="24"/>
        </w:rPr>
        <w:t>；S 诱导的氧非键态（Oxygen Non-bonding State）充当"电子牺牲剂"，把电荷转移从 Ir─O 键断裂"分流"到高能 ONB 态，保住金属-氧骨架（Ir─O 配位 OER 前后不变）；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关键数据（R0）</w:t>
      </w:r>
      <w:r>
        <w:rPr>
          <w:rFonts w:ascii="Times New Roman" w:hAnsi="Times New Roman" w:eastAsia="宋体"/>
          <w:b w:val="0"/>
          <w:sz w:val="24"/>
        </w:rPr>
        <w:t>：最优样品 IrO₂/S-450（450 °C 煅烧火山顶点）在 0.5 M H₂SO₄ 中 η₁₀=276 mV（较对照低 ~86 mV）、Tafel 46.5 mV/dec、质子反应级数 0.64（对照 0.18，LOM 特征）；Ir 溶出 0.72 vs 9.22 µg·L⁻¹·h⁻¹；S-number（每溶出 1 个 Ir 对应产 O₂ 数）2.4×10⁶（约对照 13 倍）；MEA 全器件（Nafion 115、65 °C、阳极仅 0.3 mg_Ir·cm⁻²）2.0 A·cm⁻² 时电压 1.769 V（换 Gore 80 µm 膜可降至 1.690 V），1.0 A·cm⁻² 下 1000 h 衰减仅 16.6 µV·h⁻¹，1.7 V 质量活性 20.0 A·mg_Ir⁻¹（对照的 ~3.5–4.2 倍），LHV 能量效率 76/74/71%（1.0/1.5/2.0 A·cm⁻²）；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原文瑕疵（阅读警惕）</w:t>
      </w:r>
      <w:r>
        <w:rPr>
          <w:rFonts w:ascii="Times New Roman" w:hAnsi="Times New Roman" w:eastAsia="宋体"/>
          <w:b w:val="0"/>
          <w:sz w:val="24"/>
        </w:rPr>
        <w:t>：摘要/正文写 1.769 V@2.0 A·cm⁻²，结论段写 1.787 V——引用以摘要与 Figure 为准；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对毕设的靶点</w:t>
      </w:r>
      <w:r>
        <w:rPr>
          <w:rFonts w:ascii="Times New Roman" w:hAnsi="Times New Roman" w:eastAsia="宋体"/>
          <w:b w:val="0"/>
          <w:sz w:val="24"/>
        </w:rPr>
        <w:t>：① 稳定性"三件套"（恒流长测 + ICP 溶出速率 + S-number）应成为课题65 的耐久性标配；② "系列样品 × 结构-活性火山筛选"（煅烧温度 300–500 °C 扫参，XRD/XPS/Raman 与 η₁₀/TOF/ECSA 归一逐点对应）可直接搬到微波温度/时间/负载量矩阵；③ S/阴离子掺杂可作为 MnO₂–IrO₂ 体系的进阶第三组分探索（需警惕 SO₄²⁻ 干扰，作者特地在无离聚物电极 + 0.1 M HClO₄ 中复核 Ir─S 稳定性）。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2.3 方法学补充：OER meta-analysis（*Nat. Commun.* 2019, 10, 1493，已精读）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从数百篇文献数据中挖掘 OER 催化剂"性质-性能"统计关联。核心价值：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活性评价必须</w:t>
      </w:r>
      <w:r>
        <w:rPr>
          <w:rFonts w:ascii="Times New Roman" w:hAnsi="Times New Roman" w:eastAsia="宋体"/>
          <w:b/>
          <w:sz w:val="24"/>
        </w:rPr>
        <w:t>归一化</w:t>
      </w:r>
      <w:r>
        <w:rPr>
          <w:rFonts w:ascii="Times New Roman" w:hAnsi="Times New Roman" w:eastAsia="宋体"/>
          <w:b w:val="0"/>
          <w:sz w:val="24"/>
        </w:rPr>
        <w:t>（比表面积归一 vs 质量归一，结论可能相反）；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电子结构描述符（eg 填充、d 带中心）与活性的关联在统计层面存在但分散大——</w:t>
      </w:r>
      <w:r>
        <w:rPr>
          <w:rFonts w:ascii="Times New Roman" w:hAnsi="Times New Roman" w:eastAsia="宋体"/>
          <w:b/>
          <w:sz w:val="24"/>
        </w:rPr>
        <w:t>单点对比不可靠，要建自己的数据表</w:t>
      </w:r>
      <w:r>
        <w:rPr>
          <w:rFonts w:ascii="Times New Roman" w:hAnsi="Times New Roman" w:eastAsia="宋体"/>
          <w:b w:val="0"/>
          <w:sz w:val="24"/>
        </w:rPr>
        <w:t>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对毕设的方法论意义：你的 Ir 含量梯度（0.05→0.2 等）本身就是一张"组成-活性-稳定性"数据表，用统计思维而非个例思维解读。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2.4 补充精读（2026-09-09 批量上线 4 篇，V2 修订依据）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Reier et al. </w:t>
      </w:r>
      <w:r>
        <w:rPr>
          <w:rFonts w:ascii="Times New Roman" w:hAnsi="Times New Roman" w:eastAsia="宋体"/>
          <w:b/>
          <w:i/>
          <w:sz w:val="24"/>
        </w:rPr>
        <w:t>Adv. Energy Mater.</w:t>
      </w:r>
      <w:r>
        <w:rPr>
          <w:rFonts w:ascii="Times New Roman" w:hAnsi="Times New Roman" w:eastAsia="宋体"/>
          <w:b/>
          <w:sz w:val="24"/>
        </w:rPr>
        <w:t xml:space="preserve"> 2017, 7, 1601275（Strasser 组 · 酸性 OER 机理与降铱权威综述）</w:t>
      </w:r>
      <w:r>
        <w:rPr>
          <w:rFonts w:ascii="Times New Roman" w:hAnsi="Times New Roman" w:eastAsia="宋体"/>
          <w:b w:val="0"/>
          <w:sz w:val="24"/>
        </w:rPr>
        <w:t xml:space="preserve">：机理认知三视角——Bockris 动力学（Tafel 斜率非机理指纹）、Rossmeisl DFT 热力学（pds 概念）、"酸碱机制 vs 直接偶联"分类；单金属活性序 </w:t>
      </w:r>
      <w:r>
        <w:rPr>
          <w:rFonts w:ascii="Times New Roman" w:hAnsi="Times New Roman" w:eastAsia="宋体"/>
          <w:b/>
          <w:sz w:val="24"/>
        </w:rPr>
        <w:t>Ru&gt;Ir&gt;Rh&gt;Pt&gt;Au</w:t>
      </w:r>
      <w:r>
        <w:rPr>
          <w:rFonts w:ascii="Times New Roman" w:hAnsi="Times New Roman" w:eastAsia="宋体"/>
          <w:b w:val="0"/>
          <w:sz w:val="24"/>
        </w:rPr>
        <w:t xml:space="preserve">、稳定性序 </w:t>
      </w:r>
      <w:r>
        <w:rPr>
          <w:rFonts w:ascii="Times New Roman" w:hAnsi="Times New Roman" w:eastAsia="宋体"/>
          <w:b/>
          <w:sz w:val="24"/>
        </w:rPr>
        <w:t>Pt&gt;Rh&gt;Ir&gt;Au≥Ru</w:t>
      </w:r>
      <w:r>
        <w:rPr>
          <w:rFonts w:ascii="Times New Roman" w:hAnsi="Times New Roman" w:eastAsia="宋体"/>
          <w:b w:val="0"/>
          <w:sz w:val="24"/>
        </w:rPr>
        <w:t>（扫描流动池 ICP-MS）；热制氧化物比电化学氧化物稳定 2–3 个数量级，</w:t>
      </w:r>
      <w:r>
        <w:rPr>
          <w:rFonts w:ascii="Times New Roman" w:hAnsi="Times New Roman" w:eastAsia="宋体"/>
          <w:b/>
          <w:sz w:val="24"/>
        </w:rPr>
        <w:t>煅烧温度↑ → 活性↓但稳定性↑</w:t>
      </w:r>
      <w:r>
        <w:rPr>
          <w:rFonts w:ascii="Times New Roman" w:hAnsi="Times New Roman" w:eastAsia="宋体"/>
          <w:b w:val="0"/>
          <w:sz w:val="24"/>
        </w:rPr>
        <w:t>（直接对应课题65 微波温度/退火参数的权衡）；IrNi 混合氧化物使 Ir 质量活性提升约 20 倍；碳载体在 PEM 阳极电位下热力学不稳（C→CO₂ 仅 0.207 V），需 ATO/NTO/ITO 导电氧化物载体；</w:t>
      </w:r>
      <w:r>
        <w:rPr>
          <w:rFonts w:ascii="Times New Roman" w:hAnsi="Times New Roman" w:eastAsia="宋体"/>
          <w:b/>
          <w:sz w:val="24"/>
        </w:rPr>
        <w:t>最关键的预警——MnO₂ 在酸性 OER 中通常不稳定，Frydendal 提出对 MnO₂ 近表面掺 Ti 稳定（p.12）：课题65 必须回答 MnO₂ 载体在 0.5 M H₂SO₄ 下自身是否溶出、IrO₂ 壳层是否包覆充分、Mn²⁺ 是否污染膜/毒化电极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Ma &amp; Mu </w:t>
      </w:r>
      <w:r>
        <w:rPr>
          <w:rFonts w:ascii="Times New Roman" w:hAnsi="Times New Roman" w:eastAsia="宋体"/>
          <w:b/>
          <w:i/>
          <w:sz w:val="24"/>
        </w:rPr>
        <w:t>Interdiscip. Mater.</w:t>
      </w:r>
      <w:r>
        <w:rPr>
          <w:rFonts w:ascii="Times New Roman" w:hAnsi="Times New Roman" w:eastAsia="宋体"/>
          <w:b/>
          <w:sz w:val="24"/>
        </w:rPr>
        <w:t xml:space="preserve"> 2023, 2, 53（武汉理工/仙湖实验室 · 酸性 OER 系统综述）</w:t>
      </w:r>
      <w:r>
        <w:rPr>
          <w:rFonts w:ascii="Times New Roman" w:hAnsi="Times New Roman" w:eastAsia="宋体"/>
          <w:b w:val="0"/>
          <w:sz w:val="24"/>
        </w:rPr>
        <w:t>：迄今唯一能在酸性中长期高效驱动 OER 的催化剂是金红石 IrO₂；RuO₂ 活性高但易过氧化为可溶 RuO₄ 失活；AEM 受约 3.2 eV 标度关系限制、理论最低过电位约 370 mV；LOM 活性高但晶格氧流失加速金属溶解甚至结构崩塌；催化剂三类（贵金属基/非贵金属基/碳基）+ 活性增强七策略（组分/载体/形貌/原子掺杂/缺陷/应变/阴离子）+ 稳定化五路线（包覆/电子耦合/晶格氧稳定化/电子结构调控/自修复）——为课题65 的"载体工程 + 稳定化"定位提供完整分类学框架。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Clapp et al. </w:t>
      </w:r>
      <w:r>
        <w:rPr>
          <w:rFonts w:ascii="Times New Roman" w:hAnsi="Times New Roman" w:eastAsia="宋体"/>
          <w:b/>
          <w:i/>
          <w:sz w:val="24"/>
        </w:rPr>
        <w:t>Catal. Today</w:t>
      </w:r>
      <w:r>
        <w:rPr>
          <w:rFonts w:ascii="Times New Roman" w:hAnsi="Times New Roman" w:eastAsia="宋体"/>
          <w:b/>
          <w:sz w:val="24"/>
        </w:rPr>
        <w:t xml:space="preserve"> 2023, 420, 114140（Johnson Matthey · Ir 供需技术经济）</w:t>
      </w:r>
      <w:r>
        <w:rPr>
          <w:rFonts w:ascii="Times New Roman" w:hAnsi="Times New Roman" w:eastAsia="宋体"/>
          <w:b w:val="0"/>
          <w:sz w:val="24"/>
        </w:rPr>
        <w:t>：PEMWE 被寄望贡献绿氢市场约 40% 产能，但被 Ir 供应弹性卡喉；</w:t>
      </w:r>
      <w:r>
        <w:rPr>
          <w:rFonts w:ascii="Times New Roman" w:hAnsi="Times New Roman" w:eastAsia="宋体"/>
          <w:b/>
          <w:sz w:val="24"/>
        </w:rPr>
        <w:t>Ir 利用率需在 2050 年前提高约一个数量级</w:t>
      </w:r>
      <w:r>
        <w:rPr>
          <w:rFonts w:ascii="Times New Roman" w:hAnsi="Times New Roman" w:eastAsia="宋体"/>
          <w:b w:val="0"/>
          <w:sz w:val="24"/>
        </w:rPr>
        <w:t>才能避免瓶颈；2035 年前实现闭路回收（70%→100%）可使 2050 年装机比"零回收"提高约 2.7 倍；乐观情景下仅 1.5 t·yr⁻¹（全球一次 Ir 供应的 ~20%）即可支撑约 1.3 TW PEMWE 装机；技术侧三杠杆=降膜阻、</w:t>
      </w:r>
      <w:r>
        <w:rPr>
          <w:rFonts w:ascii="Times New Roman" w:hAnsi="Times New Roman" w:eastAsia="宋体"/>
          <w:b/>
          <w:sz w:val="24"/>
        </w:rPr>
        <w:t>降载荷</w:t>
      </w:r>
      <w:r>
        <w:rPr>
          <w:rFonts w:ascii="Times New Roman" w:hAnsi="Times New Roman" w:eastAsia="宋体"/>
          <w:b w:val="0"/>
          <w:sz w:val="24"/>
        </w:rPr>
        <w:t>、提本征活性，且实测显示</w:t>
      </w:r>
      <w:r>
        <w:rPr>
          <w:rFonts w:ascii="Times New Roman" w:hAnsi="Times New Roman" w:eastAsia="宋体"/>
          <w:b/>
          <w:sz w:val="24"/>
        </w:rPr>
        <w:t>支撑型（supported）催化剂优于纯纳米颗粒</w:t>
      </w:r>
      <w:r>
        <w:rPr>
          <w:rFonts w:ascii="Times New Roman" w:hAnsi="Times New Roman" w:eastAsia="宋体"/>
          <w:b w:val="0"/>
          <w:sz w:val="24"/>
        </w:rPr>
        <w:t>——课题65 "载体分散降铱"路线的直接产业依据。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 xml:space="preserve">Dam et al. </w:t>
      </w:r>
      <w:r>
        <w:rPr>
          <w:rFonts w:ascii="Times New Roman" w:hAnsi="Times New Roman" w:eastAsia="宋体"/>
          <w:b/>
          <w:i/>
          <w:sz w:val="24"/>
        </w:rPr>
        <w:t>Appl. Catal. B: Environ. Energy</w:t>
      </w:r>
      <w:r>
        <w:rPr>
          <w:rFonts w:ascii="Times New Roman" w:hAnsi="Times New Roman" w:eastAsia="宋体"/>
          <w:b/>
          <w:sz w:val="24"/>
        </w:rPr>
        <w:t xml:space="preserve"> 2025, 365, 124946（真实 MEA 溶解研究）</w:t>
      </w:r>
      <w:r>
        <w:rPr>
          <w:rFonts w:ascii="Times New Roman" w:hAnsi="Times New Roman" w:eastAsia="宋体"/>
          <w:b w:val="0"/>
          <w:sz w:val="24"/>
        </w:rPr>
        <w:t xml:space="preserve">：零间距 MEA + 阳/阴极出水电感耦合 ICP-MS 在线定量：溶解存在强"时间稳定化"（稳定性数随时间增大 2 个数量级以上、溶解通量近似 1/t 衰减）；高电流密度下单位 Ir 溶出的产氧量最多增 2 个数量级后趋平台；循环给水会把溶解 Ir 反输运回催化层再沉积、切回单程给水后暂存 Ir 再缓慢溶出 → </w:t>
      </w:r>
      <w:r>
        <w:rPr>
          <w:rFonts w:ascii="Times New Roman" w:hAnsi="Times New Roman" w:eastAsia="宋体"/>
          <w:b/>
          <w:sz w:val="24"/>
        </w:rPr>
        <w:t>耐久性测试推荐单程给水模式</w:t>
      </w:r>
      <w:r>
        <w:rPr>
          <w:rFonts w:ascii="Times New Roman" w:hAnsi="Times New Roman" w:eastAsia="宋体"/>
          <w:b w:val="0"/>
          <w:sz w:val="24"/>
        </w:rPr>
        <w:t xml:space="preserve">；理想催化层设计下商用 IrOₓ 稳态运行 10 年所需载荷可低至约 </w:t>
      </w:r>
      <w:r>
        <w:rPr>
          <w:rFonts w:ascii="Times New Roman" w:hAnsi="Times New Roman" w:eastAsia="宋体"/>
          <w:b/>
          <w:sz w:val="24"/>
        </w:rPr>
        <w:t>0.04 mg_Ir·cm⁻²</w:t>
      </w:r>
      <w:r>
        <w:rPr>
          <w:rFonts w:ascii="Times New Roman" w:hAnsi="Times New Roman" w:eastAsia="宋体"/>
          <w:b w:val="0"/>
          <w:sz w:val="24"/>
        </w:rPr>
        <w:t>——量化了课题65 低铱路线在 MEA 尺度上的理论空间。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2.5 待补官方文献（2026-09-10 精读后 V3）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 xml:space="preserve">Li 2024 </w:t>
      </w:r>
      <w:r>
        <w:rPr>
          <w:rFonts w:ascii="Times New Roman" w:hAnsi="Times New Roman" w:eastAsia="宋体"/>
          <w:b w:val="0"/>
          <w:i/>
          <w:sz w:val="24"/>
        </w:rPr>
        <w:t>Science</w:t>
      </w:r>
      <w:r>
        <w:rPr>
          <w:rFonts w:ascii="Times New Roman" w:hAnsi="Times New Roman" w:eastAsia="宋体"/>
          <w:b w:val="0"/>
          <w:sz w:val="24"/>
        </w:rPr>
        <w:t xml:space="preserve"> 全文（DOI 10.1126/science.adg5193）——明日学长发送；到手后重点核对：MnO₂ 还原的合成细节、Ir⁶⁺ 证据链（XPS/EXAFS/价带）、活性与稳定性数值，并与 2.1 节预判逐条比对修订。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3. OER 反应过程与背景（核心）</w:t>
      </w:r>
    </w:p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3.1 反应总式与热力学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酸性 OER：</w:t>
      </w:r>
      <w:r>
        <w:rPr>
          <w:rFonts w:ascii="Times New Roman" w:hAnsi="Times New Roman" w:eastAsia="宋体"/>
          <w:b/>
          <w:sz w:val="24"/>
        </w:rPr>
        <w:t>2H₂O → O₂ + 4H⁺ + 4e⁻</w:t>
      </w:r>
      <w:r>
        <w:rPr>
          <w:rFonts w:ascii="Times New Roman" w:hAnsi="Times New Roman" w:eastAsia="宋体"/>
          <w:b w:val="0"/>
          <w:sz w:val="24"/>
        </w:rPr>
        <w:t>，E° = 1.23 V vs RHE（同一电位，碱性为 4OH⁻ → O₂ + 2H₂O + 4e⁻）。四电子转移是所有电化学反应中最"难"的类型之一——因为它涉及 O=O 双键的形成与多个质子耦合电子转移（PCET）步骤，动力学缓慢是</w:t>
      </w:r>
      <w:r>
        <w:rPr>
          <w:rFonts w:ascii="Times New Roman" w:hAnsi="Times New Roman" w:eastAsia="宋体"/>
          <w:b/>
          <w:sz w:val="24"/>
        </w:rPr>
        <w:t>本征</w:t>
      </w:r>
      <w:r>
        <w:rPr>
          <w:rFonts w:ascii="Times New Roman" w:hAnsi="Times New Roman" w:eastAsia="宋体"/>
          <w:b w:val="0"/>
          <w:sz w:val="24"/>
        </w:rPr>
        <w:t>的。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3.2 反应路径：AEM vs LOM（两条主线）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吸附质演化机制（AEM）</w:t>
      </w:r>
      <w:r>
        <w:rPr>
          <w:rFonts w:ascii="Times New Roman" w:hAnsi="Times New Roman" w:eastAsia="宋体"/>
          <w:b w:val="0"/>
          <w:sz w:val="24"/>
        </w:rPr>
        <w:t>——表面金属位点循环：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 w:val="0"/>
          <w:sz w:val="24"/>
        </w:rPr>
        <w:t>活性位 M 上水分子解离吸附，生成 OH（M–OH）；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 w:val="0"/>
          <w:i/>
          <w:sz w:val="24"/>
        </w:rPr>
        <w:t xml:space="preserve">OH 去质子化生成 </w:t>
      </w:r>
      <w:r>
        <w:rPr>
          <w:rFonts w:ascii="Times New Roman" w:hAnsi="Times New Roman" w:eastAsia="宋体"/>
          <w:b w:val="0"/>
          <w:sz w:val="24"/>
        </w:rPr>
        <w:t>O（M=O）；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 w:val="0"/>
          <w:i/>
          <w:sz w:val="24"/>
        </w:rPr>
        <w:t xml:space="preserve">O 与第二个水分子反应生成 </w:t>
      </w:r>
      <w:r>
        <w:rPr>
          <w:rFonts w:ascii="Times New Roman" w:hAnsi="Times New Roman" w:eastAsia="宋体"/>
          <w:b w:val="0"/>
          <w:sz w:val="24"/>
        </w:rPr>
        <w:t>OOH（M–OOH）；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 w:val="0"/>
          <w:sz w:val="24"/>
        </w:rPr>
        <w:t>OOH 去质子化并释放 O₂，活性位复原。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每一步都是一个 PCET（</w:t>
      </w:r>
      <w:r>
        <w:rPr>
          <w:rFonts w:ascii="Times New Roman" w:hAnsi="Times New Roman" w:eastAsia="宋体"/>
          <w:b w:val="0"/>
          <w:i/>
          <w:sz w:val="24"/>
        </w:rPr>
        <w:t>OH→</w:t>
      </w:r>
      <w:r>
        <w:rPr>
          <w:rFonts w:ascii="Times New Roman" w:hAnsi="Times New Roman" w:eastAsia="宋体"/>
          <w:b w:val="0"/>
          <w:sz w:val="24"/>
        </w:rPr>
        <w:t xml:space="preserve">O 与 </w:t>
      </w:r>
      <w:r>
        <w:rPr>
          <w:rFonts w:ascii="Times New Roman" w:hAnsi="Times New Roman" w:eastAsia="宋体"/>
          <w:b w:val="0"/>
          <w:i/>
          <w:sz w:val="24"/>
        </w:rPr>
        <w:t>O→</w:t>
      </w:r>
      <w:r>
        <w:rPr>
          <w:rFonts w:ascii="Times New Roman" w:hAnsi="Times New Roman" w:eastAsia="宋体"/>
          <w:b w:val="0"/>
          <w:sz w:val="24"/>
        </w:rPr>
        <w:t>OOH 各 1e⁻/1H⁺），</w:t>
      </w:r>
      <w:r>
        <w:rPr>
          <w:rFonts w:ascii="Times New Roman" w:hAnsi="Times New Roman" w:eastAsia="宋体"/>
          <w:b/>
          <w:sz w:val="24"/>
        </w:rPr>
        <w:t xml:space="preserve">决定速率的是 </w:t>
      </w:r>
      <w:r>
        <w:rPr>
          <w:rFonts w:ascii="Times New Roman" w:hAnsi="Times New Roman" w:eastAsia="宋体"/>
          <w:b/>
          <w:i/>
          <w:sz w:val="24"/>
        </w:rPr>
        <w:t xml:space="preserve">O 与 </w:t>
      </w:r>
      <w:r>
        <w:rPr>
          <w:rFonts w:ascii="Times New Roman" w:hAnsi="Times New Roman" w:eastAsia="宋体"/>
          <w:b/>
          <w:sz w:val="24"/>
        </w:rPr>
        <w:t>OOH 结合能之差</w:t>
      </w:r>
      <w:r>
        <w:rPr>
          <w:rFonts w:ascii="Times New Roman" w:hAnsi="Times New Roman" w:eastAsia="宋体"/>
          <w:b w:val="0"/>
          <w:sz w:val="24"/>
        </w:rPr>
        <w:t>——理想的催化剂应让中间体吸附"不太强也不太弱"（Sabatier 原则/火山图）。AEM 中 O₂ 来自两个水分子的 O，晶格 O 不参与（稳定）。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晶格氧机制（LOM）</w:t>
      </w:r>
      <w:r>
        <w:rPr>
          <w:rFonts w:ascii="Times New Roman" w:hAnsi="Times New Roman" w:eastAsia="宋体"/>
          <w:b w:val="0"/>
          <w:sz w:val="24"/>
        </w:rPr>
        <w:t>——晶格 O 直接参与：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在过渡金属氧化物（IrO₂、RuO₂、钙钛矿）高电位下，晶格氧可直接参与 O–O 偶联（如两个邻近晶格 O 或晶格 O+表面 </w:t>
      </w:r>
      <w:r>
        <w:rPr>
          <w:rFonts w:ascii="Times New Roman" w:hAnsi="Times New Roman" w:eastAsia="宋体"/>
          <w:b w:val="0"/>
          <w:i/>
          <w:sz w:val="24"/>
        </w:rPr>
        <w:t xml:space="preserve">O 耦合），绕过 </w:t>
      </w:r>
      <w:r>
        <w:rPr>
          <w:rFonts w:ascii="Times New Roman" w:hAnsi="Times New Roman" w:eastAsia="宋体"/>
          <w:b w:val="0"/>
          <w:sz w:val="24"/>
        </w:rPr>
        <w:t>OOH 中间体。优点：</w:t>
      </w:r>
      <w:r>
        <w:rPr>
          <w:rFonts w:ascii="Times New Roman" w:hAnsi="Times New Roman" w:eastAsia="宋体"/>
          <w:b/>
          <w:sz w:val="24"/>
        </w:rPr>
        <w:t>绕开 AEM 的吸附能标度关系（火山图顶点限制），活性上限更高</w:t>
      </w:r>
      <w:r>
        <w:rPr>
          <w:rFonts w:ascii="Times New Roman" w:hAnsi="Times New Roman" w:eastAsia="宋体"/>
          <w:b w:val="0"/>
          <w:sz w:val="24"/>
        </w:rPr>
        <w:t>；代价：晶格氧空位累积 → 金属（Ir）溶出 → 结构坍塌。</w:t>
      </w:r>
      <w:r>
        <w:rPr>
          <w:rFonts w:ascii="Times New Roman" w:hAnsi="Times New Roman" w:eastAsia="宋体"/>
          <w:b/>
          <w:sz w:val="24"/>
        </w:rPr>
        <w:t>LOM 是"活性换寿命"的危险交易</w:t>
      </w:r>
      <w:r>
        <w:rPr>
          <w:rFonts w:ascii="Times New Roman" w:hAnsi="Times New Roman" w:eastAsia="宋体"/>
          <w:b w:val="0"/>
          <w:sz w:val="24"/>
        </w:rPr>
        <w:t>——Yang 2025 的 S 掺杂即是对冲方案：它</w:t>
      </w:r>
      <w:r>
        <w:rPr>
          <w:rFonts w:ascii="Times New Roman" w:hAnsi="Times New Roman" w:eastAsia="宋体"/>
          <w:b w:val="0"/>
          <w:i/>
          <w:sz w:val="24"/>
        </w:rPr>
        <w:t>启用</w:t>
      </w:r>
      <w:r>
        <w:rPr>
          <w:rFonts w:ascii="Times New Roman" w:hAnsi="Times New Roman" w:eastAsia="宋体"/>
          <w:b w:val="0"/>
          <w:sz w:val="24"/>
        </w:rPr>
        <w:t>单中心 LOM（DEMS 检出 ³⁴O₂ 而无 ³⁶O₂，排除相邻晶格氧偶联），同时用 ONB 电子牺牲剂保护晶格 O，试图"活性与稳定兼得"；与立项初版把该策略理解为"关掉 LOM"的描述相反，特此更正（详见 2.2）。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3.3 动力学与过电位分解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实际电解需要 1.8-2.0 V 槽压（热力学 1.23 V），多出的 0.6-0.8 V 即各类过电位：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活化过电位（η_act）</w:t>
      </w:r>
      <w:r>
        <w:rPr>
          <w:rFonts w:ascii="Times New Roman" w:hAnsi="Times New Roman" w:eastAsia="宋体"/>
          <w:b w:val="0"/>
          <w:sz w:val="24"/>
        </w:rPr>
        <w:t>：OER 本征动力学，由催化剂决定——评价指标：10 mA/cm²（或 100 mA/cm²）处的过电位（η@10，好催化剂 &lt;300 mV）、Tafel 斜率（好催化剂 40-60 mV/dec）；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欧姆过电位（η_ohm）</w:t>
      </w:r>
      <w:r>
        <w:rPr>
          <w:rFonts w:ascii="Times New Roman" w:hAnsi="Times New Roman" w:eastAsia="宋体"/>
          <w:b w:val="0"/>
          <w:sz w:val="24"/>
        </w:rPr>
        <w:t>：膜电阻/接触电阻——用 EIS 分离（高频截距=欧姆电阻）；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浓差/传质过电位</w:t>
      </w:r>
      <w:r>
        <w:rPr>
          <w:rFonts w:ascii="Times New Roman" w:hAnsi="Times New Roman" w:eastAsia="宋体"/>
          <w:b w:val="0"/>
          <w:sz w:val="24"/>
        </w:rPr>
        <w:t>：气泡覆盖、离子传输——旋转圆盘电极或流动池中控制。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对实验的启示</w:t>
      </w:r>
      <w:r>
        <w:rPr>
          <w:rFonts w:ascii="Times New Roman" w:hAnsi="Times New Roman" w:eastAsia="宋体"/>
          <w:b w:val="0"/>
          <w:sz w:val="24"/>
        </w:rPr>
        <w:t>：η@10 必须在 iR 补偿后报告（否则数据不可比）；Tafel 斜率反映机理（~40 mV/dec ≈ 第二电子转移决速；~120 mV/dec ≈ 首电子转移决速）；EIS 的 Nyquist 图第一半圆（电荷转移电阻 Rct）与活性相关。</w:t>
      </w:r>
    </w:p>
    <w:p/>
    <w:p>
      <w:pPr>
        <w:pStyle w:val="4"/>
        <w:pageBreakBefore w:val="0"/>
      </w:pPr>
      <w:r>
        <w:rPr>
          <w:rFonts w:ascii="Times New Roman" w:hAnsi="Times New Roman" w:eastAsia="宋体"/>
          <w:b/>
          <w:sz w:val="32"/>
        </w:rPr>
        <w:t>3.4 稳定性评价（低铱课题的生命线）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计时电位/计时电流</w:t>
      </w:r>
      <w:r>
        <w:rPr>
          <w:rFonts w:ascii="Times New Roman" w:hAnsi="Times New Roman" w:eastAsia="宋体"/>
          <w:b w:val="0"/>
          <w:sz w:val="24"/>
        </w:rPr>
        <w:t>（恒流/恒压长跑）：记录电位/电流随时间漂移；Ir 溶解用 ICP-MS 测电解液 Ir 浓度；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S-number（稳定性数）</w:t>
      </w:r>
      <w:r>
        <w:rPr>
          <w:rFonts w:ascii="Times New Roman" w:hAnsi="Times New Roman" w:eastAsia="宋体"/>
          <w:b w:val="0"/>
          <w:sz w:val="24"/>
        </w:rPr>
        <w:t>：每溶出 1 个 Ir 对应产生的 O₂ 数，已成本领域耐久性通用指标（Yang2025 报 2.4×10⁶，约对照 13 倍）——无 ICP 时至少报告电压衰减率（µV·h⁻¹）并做测试后 XPS/XRD 结构复核；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MEA 尺度测试协议</w:t>
      </w:r>
      <w:r>
        <w:rPr>
          <w:rFonts w:ascii="Times New Roman" w:hAnsi="Times New Roman" w:eastAsia="宋体"/>
          <w:b w:val="0"/>
          <w:sz w:val="24"/>
        </w:rPr>
        <w:t>：真实零间距 MEA + 在线 ICP-MS 显示溶解存在强"时间稳定化"（通量近似 1/t 衰减）与电流密度依赖，</w:t>
      </w:r>
      <w:r>
        <w:rPr>
          <w:rFonts w:ascii="Times New Roman" w:hAnsi="Times New Roman" w:eastAsia="宋体"/>
          <w:b/>
          <w:sz w:val="24"/>
        </w:rPr>
        <w:t>耐久性对比建议用单程给水模式</w:t>
      </w:r>
      <w:r>
        <w:rPr>
          <w:rFonts w:ascii="Times New Roman" w:hAnsi="Times New Roman" w:eastAsia="宋体"/>
          <w:b w:val="0"/>
          <w:sz w:val="24"/>
        </w:rPr>
        <w:t>（循环模式会把 Ir 反输运再沉积、掩盖真实溶出，Dam 2025）；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加速老化</w:t>
      </w:r>
      <w:r>
        <w:rPr>
          <w:rFonts w:ascii="Times New Roman" w:hAnsi="Times New Roman" w:eastAsia="宋体"/>
          <w:b w:val="0"/>
          <w:sz w:val="24"/>
        </w:rPr>
        <w:t>（电压循环/方波）：模拟电解槽启停；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对比基准</w:t>
      </w:r>
      <w:r>
        <w:rPr>
          <w:rFonts w:ascii="Times New Roman" w:hAnsi="Times New Roman" w:eastAsia="宋体"/>
          <w:b w:val="0"/>
          <w:sz w:val="24"/>
        </w:rPr>
        <w:t>：商业 IrO₂ / Ir black 必须同条件跑——低铱催化剂的卖点全靠"归一化到 Ir 质量"的对比（质量活性 A/mg_Ir、比活性）；Ru/Ir 氧化物性能对制备条件极敏感，作参比须声明制备与晶化状态（Reier2017）。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4. 合成路线：微波辅助多元醇法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乙二醇（EG）</w:t>
      </w:r>
      <w:r>
        <w:rPr>
          <w:rFonts w:ascii="Times New Roman" w:hAnsi="Times New Roman" w:eastAsia="宋体"/>
          <w:b w:val="0"/>
          <w:sz w:val="24"/>
        </w:rPr>
        <w:t>：既是溶剂又是温和还原剂——高温下氧化为乙醇酸/乙二醛，释放电子还原金属前驱体；EG 高沸点（197°C）允许高温反应，介电常数高利于微波吸收；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微波加热 vs 传统加热</w:t>
      </w:r>
      <w:r>
        <w:rPr>
          <w:rFonts w:ascii="Times New Roman" w:hAnsi="Times New Roman" w:eastAsia="宋体"/>
          <w:b w:val="0"/>
          <w:sz w:val="24"/>
        </w:rPr>
        <w:t>：体相快速均匀加热（而非热传导）、成核过饱和度均匀 → 粒径分布窄、可重复性好；参数：功率/温度/时间/升温速率；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MnO₂–IrO₂ 异质结构形成</w:t>
      </w:r>
      <w:r>
        <w:rPr>
          <w:rFonts w:ascii="Times New Roman" w:hAnsi="Times New Roman" w:eastAsia="宋体"/>
          <w:b w:val="0"/>
          <w:sz w:val="24"/>
        </w:rPr>
        <w:t>：先制 MnO₂（或原位生成）→ Ir 前驱体（H₂IrCl₆/IrCl₃）在 EG 中被还原沉积于 MnO₂ 表面 → 控制 IrO₂ 负载量（投料比）与结晶度（温度/时间）；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变量矩阵</w:t>
      </w:r>
      <w:r>
        <w:rPr>
          <w:rFonts w:ascii="Times New Roman" w:hAnsi="Times New Roman" w:eastAsia="宋体"/>
          <w:b w:val="0"/>
          <w:sz w:val="24"/>
        </w:rPr>
        <w:t>（对应手册）：前驱体浓度 × IrO₂ 负载量 × 反应温度 × 反应时间 × 微波条件——建议先固定 3 个扫 1 个（一变量一实验），避免组合爆炸。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5. 表征与电化学测试闭环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</w:tblGrid>
      <w:tr>
        <w:tc>
          <w:tcPr>
            <w:tcW w:type="dxa" w:w="502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环节</w:t>
            </w:r>
          </w:p>
        </w:tc>
        <w:tc>
          <w:tcPr>
            <w:tcW w:type="dxa" w:w="5092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手段</w:t>
            </w:r>
          </w:p>
        </w:tc>
        <w:tc>
          <w:tcPr>
            <w:tcW w:type="dxa" w:w="2869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回答的问题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物相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XRD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IrO₂/MnO₂ 晶相、有无金属 Ir、晶粒尺寸（Scherrer）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形貌/界面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SEM/TEM/HRTEM/EDX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异质结构是否形成、Ir 分布、晶格像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表面化学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XPS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Ir 氧化态（4f）、Mn 价态、界面电子转移方向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电化学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LSV（iR 补偿）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η@10、η@100；质量活性归一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动力学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Tafel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决速步/机理线索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界面电阻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EIS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Rct 随负载量变化</w:t>
            </w:r>
          </w:p>
        </w:tc>
      </w:tr>
      <w:tr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稳定性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恒流/恒压长测 + ICP-MS 溶出 + S-number（无 ICP 则报电压衰减率 + 测后 XPS/XRD 复核）</w:t>
            </w:r>
          </w:p>
        </w:tc>
        <w:tc>
          <w:tcPr>
            <w:tcW w:type="dxa" w:w="282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寿命、溶出速率、稳定化趋势（单程给水）</w:t>
            </w:r>
          </w:p>
        </w:tc>
      </w:tr>
    </w:tbl>
    <w:p/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6. 实验设计要点与里程碑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基线先行</w:t>
      </w:r>
      <w:r>
        <w:rPr>
          <w:rFonts w:ascii="Times New Roman" w:hAnsi="Times New Roman" w:eastAsia="宋体"/>
          <w:b w:val="0"/>
          <w:sz w:val="24"/>
        </w:rPr>
        <w:t>：商业 IrO₂ 与纯 MnO₂ 必须作为对照组（MnO₂ 本身有 OER 活性但酸性下会溶解——这也解释了为什么 MnO₂ 只做载体+促进剂而非主体）；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10 月（进组）</w:t>
      </w:r>
      <w:r>
        <w:rPr>
          <w:rFonts w:ascii="Times New Roman" w:hAnsi="Times New Roman" w:eastAsia="宋体"/>
          <w:b w:val="0"/>
          <w:sz w:val="24"/>
        </w:rPr>
        <w:t>：安全培训/设备熟悉/复现一篇文献的 MnO₂–IrO₂ 合成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11-12 月</w:t>
      </w:r>
      <w:r>
        <w:rPr>
          <w:rFonts w:ascii="Times New Roman" w:hAnsi="Times New Roman" w:eastAsia="宋体"/>
          <w:b w:val="0"/>
          <w:sz w:val="24"/>
        </w:rPr>
        <w:t>：合成参数矩阵第一批（负载量梯度为核心）；XRD/XPS 表征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1 月（CA1）</w:t>
      </w:r>
      <w:r>
        <w:rPr>
          <w:rFonts w:ascii="Times New Roman" w:hAnsi="Times New Roman" w:eastAsia="宋体"/>
          <w:b w:val="0"/>
          <w:sz w:val="24"/>
        </w:rPr>
        <w:t>：电化学评价闭环，η@10 与质量活性数据表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2-3 月</w:t>
      </w:r>
      <w:r>
        <w:rPr>
          <w:rFonts w:ascii="Times New Roman" w:hAnsi="Times New Roman" w:eastAsia="宋体"/>
          <w:b w:val="0"/>
          <w:sz w:val="24"/>
        </w:rPr>
        <w:t>：稳定性测试 + 最优组成迭代（S 掺杂等进阶可选）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4-5 月（CA2）</w:t>
      </w:r>
      <w:r>
        <w:rPr>
          <w:rFonts w:ascii="Times New Roman" w:hAnsi="Times New Roman" w:eastAsia="宋体"/>
          <w:b w:val="0"/>
          <w:sz w:val="24"/>
        </w:rPr>
        <w:t>：成文——组成-结构-活性-稳定性关联结论 + 论文骨架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风险预案</w:t>
      </w:r>
      <w:r>
        <w:rPr>
          <w:rFonts w:ascii="Times New Roman" w:hAnsi="Times New Roman" w:eastAsia="宋体"/>
          <w:b w:val="0"/>
          <w:sz w:val="24"/>
        </w:rPr>
        <w:t>：①微波反应器不可用 → 常规油浴多元醇法（降级不影响主线）；②Ir 溶解/负载量上不去 → 调 EG/水比例与还原温度；③酸性 OER 数据波动 → 严格 iR 补偿与 RHE 校准，建立标准测试 SOP；④</w:t>
      </w:r>
      <w:r>
        <w:rPr>
          <w:rFonts w:ascii="Times New Roman" w:hAnsi="Times New Roman" w:eastAsia="宋体"/>
          <w:b/>
          <w:sz w:val="24"/>
        </w:rPr>
        <w:t>MnO₂ 载体酸性溶出</w:t>
      </w:r>
      <w:r>
        <w:rPr>
          <w:rFonts w:ascii="Times New Roman" w:hAnsi="Times New Roman" w:eastAsia="宋体"/>
          <w:b w:val="0"/>
          <w:sz w:val="24"/>
        </w:rPr>
        <w:t>（精读预警的首要风险）→ 提高 IrO₂ 包覆完整性/预退火致密化，参考 Reier2017 所述 Mn 位掺 Ti 稳定思路，并用 ICP 监测 Mn²⁺ 溶出。</w:t>
      </w:r>
    </w:p>
    <w:p/>
    <w:p>
      <w:pPr>
        <w:spacing w:before="120" w:after="120"/>
        <w:pBdr>
          <w:bottom w:val="single" w:sz="6" w:color="CCCCCC"/>
        </w:pBdr>
      </w:pPr>
    </w:p>
    <w:p/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版本记录</w:t>
      </w:r>
      <w:r>
        <w:rPr>
          <w:rFonts w:ascii="Times New Roman" w:hAnsi="Times New Roman" w:eastAsia="宋体"/>
          <w:b w:val="0"/>
          <w:sz w:val="24"/>
        </w:rPr>
        <w:t>：V1 2026-09-02（立项框架）→ V2 2026-09-09（官方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 xml:space="preserve">2] 与 4 篇补充全文精读后修订：机制纠错 + 数值补全 + 风险预案④）→ </w:t>
      </w:r>
      <w:r>
        <w:rPr>
          <w:rFonts w:ascii="Times New Roman" w:hAnsi="Times New Roman" w:eastAsia="宋体"/>
          <w:b/>
          <w:sz w:val="24"/>
        </w:rPr>
        <w:t>V2.1 2026-09-10</w:t>
      </w:r>
      <w:r>
        <w:rPr>
          <w:rFonts w:ascii="Times New Roman" w:hAnsi="Times New Roman" w:eastAsia="宋体"/>
          <w:b w:val="0"/>
          <w:sz w:val="24"/>
        </w:rPr>
        <w:t>（官方</w:t>
      </w:r>
      <w:r>
        <w:rPr>
          <w:rFonts w:ascii="Times New Roman" w:hAnsi="Times New Roman" w:eastAsia="宋体"/>
          <w:b w:val="0"/>
          <w:sz w:val="24"/>
        </w:rPr>
        <w:t>[</w:t>
      </w:r>
      <w:r>
        <w:rPr>
          <w:rFonts w:ascii="Times New Roman" w:hAnsi="Times New Roman" w:eastAsia="宋体"/>
          <w:b w:val="0"/>
          <w:sz w:val="24"/>
        </w:rPr>
        <w:t>1] Science 全球闭源，改以 Science 官方摘要 + RIKEN 新闻稿 + 中文技术解读三级来源核实：更正"MnO₂ 还原 Ir"为"MnO₂ 氧化 Ir(IV)→Ir(VI)"，补全关键数据与《待核对清单》）→ V3 待原文到手后升级为正式版。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汇报完 · 课题 65 全流程参考《课题65-入选指南-硕士前景与FYP准备.md》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