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AEM-5 阅读指南 —— 薛组结构重构综述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编制日期：2026年09月20日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元信息：Zhong H., Zhang Q., </w:t>
      </w:r>
      <w:r>
        <w:rPr>
          <w:rFonts w:ascii="Times New Roman" w:hAnsi="Times New Roman" w:eastAsia="宋体"/>
          <w:b/>
          <w:sz w:val="24"/>
        </w:rPr>
        <w:t>Junchen Yu</w:t>
      </w:r>
      <w:r>
        <w:rPr>
          <w:rFonts w:ascii="Times New Roman" w:hAnsi="Times New Roman" w:eastAsia="宋体"/>
          <w:b w:val="0"/>
          <w:sz w:val="24"/>
        </w:rPr>
        <w:t xml:space="preserve">, …, Xiaopeng Wang\, </w:t>
      </w:r>
      <w:r>
        <w:rPr>
          <w:rFonts w:ascii="Times New Roman" w:hAnsi="Times New Roman" w:eastAsia="宋体"/>
          <w:b/>
          <w:sz w:val="24"/>
        </w:rPr>
        <w:t>Junmin Xue\</w:t>
      </w:r>
      <w:r>
        <w:rPr>
          <w:rFonts w:ascii="Times New Roman" w:hAnsi="Times New Roman" w:eastAsia="宋体"/>
          <w:b w:val="0"/>
          <w:sz w:val="24"/>
        </w:rPr>
        <w:t xml:space="preserve"> · Fundamental Understanding of Structural Reconstruction Behaviors in OER Electrocatalysts · </w:t>
      </w:r>
      <w:r>
        <w:rPr>
          <w:rFonts w:ascii="Times New Roman" w:hAnsi="Times New Roman" w:eastAsia="宋体"/>
          <w:b/>
          <w:sz w:val="24"/>
        </w:rPr>
        <w:t>Adv. Energy Mater. 2023, 13, 2301391</w:t>
      </w:r>
      <w:r>
        <w:rPr>
          <w:rFonts w:ascii="Times New Roman" w:hAnsi="Times New Roman" w:eastAsia="宋体"/>
          <w:b w:val="0"/>
          <w:sz w:val="24"/>
        </w:rPr>
        <w:t>（25 页）｜DOI 10.1002/aenm.202301391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精读报告：</w:t>
      </w:r>
      <w:r>
        <w:rPr>
          <w:rFonts w:ascii="Consolas" w:hAnsi="Consolas" w:eastAsia="Consolas"/>
          <w:sz w:val="24"/>
          <w:shd w:fill="F0F0F0"/>
        </w:rPr>
        <w:t>文献精读-88-薛组重构综述AEM2023.md</w:t>
      </w:r>
      <w:r>
        <w:rPr>
          <w:rFonts w:ascii="Times New Roman" w:hAnsi="Times New Roman" w:eastAsia="宋体"/>
          <w:b w:val="0"/>
          <w:sz w:val="24"/>
        </w:rPr>
        <w:t>｜</w:t>
      </w:r>
      <w:r>
        <w:rPr>
          <w:rFonts w:ascii="Times New Roman" w:hAnsi="Times New Roman" w:eastAsia="宋体"/>
          <w:b/>
          <w:sz w:val="24"/>
        </w:rPr>
        <w:t>页码规矩：PDF 页号 = 文章页号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读完日期：2026-09-18 ✅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一句话定性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不是背景文献，是组内"规则手册"</w:t>
      </w:r>
      <w:r>
        <w:rPr>
          <w:rFonts w:ascii="Times New Roman" w:hAnsi="Times New Roman" w:eastAsia="宋体"/>
          <w:b w:val="0"/>
          <w:sz w:val="24"/>
        </w:rPr>
        <w:t>——它规定薛组的语言（重构 / MOOH 真实活性相 / e_g\ 带展宽 / COM 机制）、实验惯例（活化协议、表征组合）与目标体系。读它的目的是</w:t>
      </w:r>
      <w:r>
        <w:rPr>
          <w:rFonts w:ascii="Times New Roman" w:hAnsi="Times New Roman" w:eastAsia="宋体"/>
          <w:b/>
          <w:sz w:val="24"/>
        </w:rPr>
        <w:t>知道组里怎么做、怎么说话、看重什么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🔴 第一优先：第 6 节「酸性介质中的结构重构」（**p.15–16**）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全文唯一与你课题</w:t>
      </w:r>
      <w:r>
        <w:rPr>
          <w:rFonts w:ascii="Times New Roman" w:hAnsi="Times New Roman" w:eastAsia="宋体"/>
          <w:b/>
          <w:sz w:val="24"/>
        </w:rPr>
        <w:t>介质一致</w:t>
      </w:r>
      <w:r>
        <w:rPr>
          <w:rFonts w:ascii="Times New Roman" w:hAnsi="Times New Roman" w:eastAsia="宋体"/>
          <w:b w:val="0"/>
          <w:sz w:val="24"/>
        </w:rPr>
        <w:t>的章节：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Ru 为什么坏</w:t>
      </w:r>
      <w:r>
        <w:rPr>
          <w:rFonts w:ascii="Times New Roman" w:hAnsi="Times New Roman" w:eastAsia="宋体"/>
          <w:b w:val="0"/>
          <w:sz w:val="24"/>
        </w:rPr>
        <w:t>：酸性 Ru 基氧化物失效的两条通道——</w:t>
      </w:r>
      <w:r>
        <w:rPr>
          <w:rFonts w:ascii="Times New Roman" w:hAnsi="Times New Roman" w:eastAsia="宋体"/>
          <w:b/>
          <w:sz w:val="24"/>
        </w:rPr>
        <w:t>过氧化成可溶 RuO₄</w:t>
      </w:r>
      <w:r>
        <w:rPr>
          <w:rFonts w:ascii="Times New Roman" w:hAnsi="Times New Roman" w:eastAsia="宋体"/>
          <w:b w:val="0"/>
          <w:sz w:val="24"/>
        </w:rPr>
        <w:t xml:space="preserve"> + </w:t>
      </w:r>
      <w:r>
        <w:rPr>
          <w:rFonts w:ascii="Times New Roman" w:hAnsi="Times New Roman" w:eastAsia="宋体"/>
          <w:b/>
          <w:sz w:val="24"/>
        </w:rPr>
        <w:t>LOM 参与析氧</w:t>
      </w:r>
      <w:r>
        <w:rPr>
          <w:rFonts w:ascii="Times New Roman" w:hAnsi="Times New Roman" w:eastAsia="宋体"/>
          <w:b w:val="0"/>
          <w:sz w:val="24"/>
        </w:rPr>
        <w:t>（p.15）。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两类已被验证的稳定策略</w:t>
      </w:r>
      <w:r>
        <w:rPr>
          <w:rFonts w:ascii="Times New Roman" w:hAnsi="Times New Roman" w:eastAsia="宋体"/>
          <w:b w:val="0"/>
          <w:sz w:val="24"/>
        </w:rPr>
        <w:t>：① 金属</w:t>
      </w:r>
      <w:r>
        <w:rPr>
          <w:rFonts w:ascii="Times New Roman" w:hAnsi="Times New Roman" w:eastAsia="宋体"/>
          <w:b/>
          <w:sz w:val="24"/>
        </w:rPr>
        <w:t>限域为单原子位点</w:t>
      </w:r>
      <w:r>
        <w:rPr>
          <w:rFonts w:ascii="Times New Roman" w:hAnsi="Times New Roman" w:eastAsia="宋体"/>
          <w:b w:val="0"/>
          <w:sz w:val="24"/>
        </w:rPr>
        <w:t xml:space="preserve">；② </w:t>
      </w:r>
      <w:r>
        <w:rPr>
          <w:rFonts w:ascii="Times New Roman" w:hAnsi="Times New Roman" w:eastAsia="宋体"/>
          <w:b/>
          <w:sz w:val="24"/>
        </w:rPr>
        <w:t>提高氧空位形成能</w:t>
      </w:r>
      <w:r>
        <w:rPr>
          <w:rFonts w:ascii="Times New Roman" w:hAnsi="Times New Roman" w:eastAsia="宋体"/>
          <w:b w:val="0"/>
          <w:sz w:val="24"/>
        </w:rPr>
        <w:t xml:space="preserve">（W/Er 共掺杂 RuO₂：O 2p 带中心下移 → 抑制氧空位 → </w:t>
      </w:r>
      <w:r>
        <w:rPr>
          <w:rFonts w:ascii="Times New Roman" w:hAnsi="Times New Roman" w:eastAsia="宋体"/>
          <w:b/>
          <w:sz w:val="24"/>
        </w:rPr>
        <w:t>168 mV、酸性 500 h</w:t>
      </w:r>
      <w:r>
        <w:rPr>
          <w:rFonts w:ascii="Times New Roman" w:hAnsi="Times New Roman" w:eastAsia="宋体"/>
          <w:b w:val="0"/>
          <w:sz w:val="24"/>
        </w:rPr>
        <w:t>，p.15）。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 xml:space="preserve">⭐ </w:t>
      </w:r>
      <w:r>
        <w:rPr>
          <w:rFonts w:ascii="Times New Roman" w:hAnsi="Times New Roman" w:eastAsia="宋体"/>
          <w:b/>
          <w:sz w:val="24"/>
        </w:rPr>
        <w:t>直接先例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Lin C. 等 Ru 原子阵列/α-MnO₂</w:t>
      </w:r>
      <w:r>
        <w:rPr>
          <w:rFonts w:ascii="Times New Roman" w:hAnsi="Times New Roman" w:eastAsia="宋体"/>
          <w:b w:val="0"/>
          <w:sz w:val="24"/>
        </w:rPr>
        <w:t>——一步</w:t>
      </w:r>
      <w:r>
        <w:rPr>
          <w:rFonts w:ascii="Times New Roman" w:hAnsi="Times New Roman" w:eastAsia="宋体"/>
          <w:b/>
          <w:sz w:val="24"/>
        </w:rPr>
        <w:t>阳离子交换</w:t>
      </w:r>
      <w:r>
        <w:rPr>
          <w:rFonts w:ascii="Times New Roman" w:hAnsi="Times New Roman" w:eastAsia="宋体"/>
          <w:b w:val="0"/>
          <w:sz w:val="24"/>
        </w:rPr>
        <w:t xml:space="preserve">负载 Ru，析氧中 Mn/Ru 继续交换、原位重构长出 Ru 原子阵列；重构后位点对称、走 </w:t>
      </w:r>
      <w:r>
        <w:rPr>
          <w:rFonts w:ascii="Times New Roman" w:hAnsi="Times New Roman" w:eastAsia="宋体"/>
          <w:b/>
          <w:sz w:val="24"/>
        </w:rPr>
        <w:t>OPM 且不形成氧空位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161 mV@10 mA cm⁻²、&gt;200 h</w:t>
      </w:r>
      <w:r>
        <w:rPr>
          <w:rFonts w:ascii="Times New Roman" w:hAnsi="Times New Roman" w:eastAsia="宋体"/>
          <w:b w:val="0"/>
          <w:sz w:val="24"/>
        </w:rPr>
        <w:t>（pp.15–16）。</w:t>
      </w:r>
      <w:r>
        <w:rPr>
          <w:rFonts w:ascii="Times New Roman" w:hAnsi="Times New Roman" w:eastAsia="宋体"/>
          <w:b/>
          <w:sz w:val="24"/>
        </w:rPr>
        <w:t>这是课题合法性基石，pre 里必须主动引用。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🔴 第二优先：第 5 节「表征技术」+ **Figure 4（p.12）**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现成的表征清单与"探测深度图"：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in situ 环境 TEM（p.11）｜in situ Raman &amp; FTIR（p.13）｜原子探针 APT（p.13）｜operando XAS（p.13）｜EPR 测氧空位 g≈2.002（p.14）｜STEM（p.14）｜DFT（p.14）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p.13 关键一句：完全重构可能需 ≥8 h</w:t>
      </w:r>
      <w:r>
        <w:rPr>
          <w:rFonts w:ascii="Times New Roman" w:hAnsi="Times New Roman" w:eastAsia="宋体"/>
          <w:b w:val="0"/>
          <w:sz w:val="24"/>
        </w:rPr>
        <w:t xml:space="preserve"> → 决定你的活化时间设定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Fig.4 给出探测深度示意</w:t>
      </w:r>
      <w:r>
        <w:rPr>
          <w:rFonts w:ascii="Times New Roman" w:hAnsi="Times New Roman" w:eastAsia="宋体"/>
          <w:b w:val="0"/>
          <w:sz w:val="24"/>
        </w:rPr>
        <w:t xml:space="preserve"> → pre 的「结构表征」页直接照它列，并能解释"为什么选这几件"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🟡 第三优先：第 3–4 节「重构机制 + 决定活性的六因素」（**pp.6–10，Figure 3 p.8**）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因果主线：</w:t>
      </w:r>
      <w:r>
        <w:rPr>
          <w:rFonts w:ascii="Times New Roman" w:hAnsi="Times New Roman" w:eastAsia="宋体"/>
          <w:b/>
          <w:sz w:val="24"/>
        </w:rPr>
        <w:t>预催化剂 → 重构 → MOOH 才是真实活性相</w:t>
      </w:r>
      <w:r>
        <w:rPr>
          <w:rFonts w:ascii="Times New Roman" w:hAnsi="Times New Roman" w:eastAsia="宋体"/>
          <w:b w:val="0"/>
          <w:sz w:val="24"/>
        </w:rPr>
        <w:t>（p.1–2）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p.6（必记）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CV 处理导致完全原位氧化，计时电位（CP）只造成部分重构</w:t>
      </w:r>
      <w:r>
        <w:rPr>
          <w:rFonts w:ascii="Times New Roman" w:hAnsi="Times New Roman" w:eastAsia="宋体"/>
          <w:b w:val="0"/>
          <w:sz w:val="24"/>
        </w:rPr>
        <w:t xml:space="preserve"> → 所以"</w:t>
      </w:r>
      <w:r>
        <w:rPr>
          <w:rFonts w:ascii="Times New Roman" w:hAnsi="Times New Roman" w:eastAsia="宋体"/>
          <w:b/>
          <w:sz w:val="24"/>
        </w:rPr>
        <w:t>电化学活化协议必须作为独立实验变量记录</w:t>
      </w:r>
      <w:r>
        <w:rPr>
          <w:rFonts w:ascii="Times New Roman" w:hAnsi="Times New Roman" w:eastAsia="宋体"/>
          <w:b w:val="0"/>
          <w:sz w:val="24"/>
        </w:rPr>
        <w:t>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六因素（pp.7–11）：① 暴露更多活性位（边缘晶面主导）② 残留阳离子掺杂（含 </w:t>
      </w:r>
      <w:r>
        <w:rPr>
          <w:rFonts w:ascii="Times New Roman" w:hAnsi="Times New Roman" w:eastAsia="宋体"/>
          <w:b/>
          <w:sz w:val="24"/>
        </w:rPr>
        <w:t>"自终止重构"</w:t>
      </w:r>
      <w:r>
        <w:rPr>
          <w:rFonts w:ascii="Times New Roman" w:hAnsi="Times New Roman" w:eastAsia="宋体"/>
          <w:b w:val="0"/>
          <w:sz w:val="24"/>
        </w:rPr>
        <w:t xml:space="preserve">，p.9）③ 不饱和配位/氧空位 ④ 含氧阴离子吸附 ⑤ </w:t>
      </w:r>
      <w:r>
        <w:rPr>
          <w:rFonts w:ascii="Times New Roman" w:hAnsi="Times New Roman" w:eastAsia="宋体"/>
          <w:b/>
          <w:sz w:val="24"/>
        </w:rPr>
        <w:t>杂化界面 + 桥氧电子转移</w:t>
      </w:r>
      <w:r>
        <w:rPr>
          <w:rFonts w:ascii="Times New Roman" w:hAnsi="Times New Roman" w:eastAsia="宋体"/>
          <w:b w:val="0"/>
          <w:sz w:val="24"/>
        </w:rPr>
        <w:t xml:space="preserve">（Co–Mo₂C 中 Mo 经桥氧 O²⁻ 向 Co 转移电子，p.10）⑥ </w:t>
      </w:r>
      <w:r>
        <w:rPr>
          <w:rFonts w:ascii="Times New Roman" w:hAnsi="Times New Roman" w:eastAsia="宋体"/>
          <w:b/>
          <w:sz w:val="24"/>
        </w:rPr>
        <w:t>e_g\ 带展宽</w:t>
      </w:r>
      <w:r>
        <w:rPr>
          <w:rFonts w:ascii="Times New Roman" w:hAnsi="Times New Roman" w:eastAsia="宋体"/>
          <w:b w:val="0"/>
          <w:sz w:val="24"/>
        </w:rPr>
        <w:t>（Ni–O 键长 2.05876→2.03916 Å 缩短、畸变增大，pp.11、14–15）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⚪ 可以快读/跳过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 2 节 OER 机制与描述符</w:t>
      </w:r>
      <w:r>
        <w:rPr>
          <w:rFonts w:ascii="Times New Roman" w:hAnsi="Times New Roman" w:eastAsia="宋体"/>
          <w:b w:val="0"/>
          <w:sz w:val="24"/>
        </w:rPr>
        <w:t xml:space="preserve">：已在 CSC-4 + Reier 2017 读透 → 只扫 </w:t>
      </w:r>
      <w:r>
        <w:rPr>
          <w:rFonts w:ascii="Times New Roman" w:hAnsi="Times New Roman" w:eastAsia="宋体"/>
          <w:b/>
          <w:sz w:val="24"/>
        </w:rPr>
        <w:t>Figure 1（p.3）</w:t>
      </w:r>
      <w:r>
        <w:rPr>
          <w:rFonts w:ascii="Times New Roman" w:hAnsi="Times New Roman" w:eastAsia="宋体"/>
          <w:b w:val="0"/>
          <w:sz w:val="24"/>
        </w:rPr>
        <w:t xml:space="preserve"> 熟悉术语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 7 节</w:t>
      </w:r>
      <w:r>
        <w:rPr>
          <w:rFonts w:ascii="Times New Roman" w:hAnsi="Times New Roman" w:eastAsia="宋体"/>
          <w:b w:val="0"/>
          <w:sz w:val="24"/>
        </w:rPr>
        <w:t>（其他电催化反应中的重构，p.17 起）：与本课题弱相关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第 8 节</w:t>
      </w:r>
      <w:r>
        <w:rPr>
          <w:rFonts w:ascii="Times New Roman" w:hAnsi="Times New Roman" w:eastAsia="宋体"/>
          <w:b w:val="0"/>
          <w:sz w:val="24"/>
        </w:rPr>
        <w:t>只挑两条：</w:t>
      </w:r>
      <w:r>
        <w:rPr>
          <w:rFonts w:ascii="Times New Roman" w:hAnsi="Times New Roman" w:eastAsia="宋体"/>
          <w:b/>
          <w:sz w:val="24"/>
        </w:rPr>
        <w:t>8.3.1（p.18）</w:t>
      </w:r>
      <w:r>
        <w:rPr>
          <w:rFonts w:ascii="Times New Roman" w:hAnsi="Times New Roman" w:eastAsia="宋体"/>
          <w:b w:val="0"/>
          <w:sz w:val="24"/>
        </w:rPr>
        <w:t xml:space="preserve"> Mn 与 Al、V 并列为 </w:t>
      </w:r>
      <w:r>
        <w:rPr>
          <w:rFonts w:ascii="Times New Roman" w:hAnsi="Times New Roman" w:eastAsia="宋体"/>
          <w:b/>
          <w:sz w:val="24"/>
        </w:rPr>
        <w:t>OER 惰性掺杂元素</w:t>
      </w:r>
      <w:r>
        <w:rPr>
          <w:rFonts w:ascii="Times New Roman" w:hAnsi="Times New Roman" w:eastAsia="宋体"/>
          <w:b w:val="0"/>
          <w:sz w:val="24"/>
        </w:rPr>
        <w:t>（→ 论证"Mn 是稳定剂不是活性位"）；</w:t>
      </w:r>
      <w:r>
        <w:rPr>
          <w:rFonts w:ascii="Times New Roman" w:hAnsi="Times New Roman" w:eastAsia="宋体"/>
          <w:b/>
          <w:sz w:val="24"/>
        </w:rPr>
        <w:t>8.3.2（p.19）</w:t>
      </w:r>
      <w:r>
        <w:rPr>
          <w:rFonts w:ascii="Times New Roman" w:hAnsi="Times New Roman" w:eastAsia="宋体"/>
          <w:b w:val="0"/>
          <w:sz w:val="24"/>
        </w:rPr>
        <w:t xml:space="preserve"> 牺牲组分 + 自终止重构（→ 创新点的一个漂亮说法）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🎯 对 9.24 pre 的用处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130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PPT 页</w:t>
            </w:r>
          </w:p>
        </w:tc>
        <w:tc>
          <w:tcPr>
            <w:tcW w:type="dxa" w:w="716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用它的什么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Background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 6 节：Ru 失稳两通道（p.15）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Risk 页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 6 节 + 已被验证的两类稳定策略（p.15–16）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合成工艺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 活化协议差异 + 8.3.2 自终止重构（p.19）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结构表征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第 5 节 + Fig.4（pp.11–14）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性能/稳定性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对标 </w:t>
            </w:r>
            <w:r>
              <w:rPr>
                <w:rFonts w:ascii="Times New Roman" w:hAnsi="Times New Roman" w:eastAsia="宋体"/>
                <w:b/>
                <w:sz w:val="24"/>
              </w:rPr>
              <w:t>&gt;200 h（p.16）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/>
                <w:sz w:val="24"/>
              </w:rPr>
              <w:t>500 h（p.15）</w:t>
            </w:r>
            <w:r>
              <w:rPr>
                <w:rFonts w:ascii="Times New Roman" w:hAnsi="Times New Roman" w:eastAsia="宋体"/>
                <w:b w:val="0"/>
                <w:sz w:val="24"/>
              </w:rPr>
              <w:t>；分段取样表征判据（p.13）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创新点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8.3.1「Mn = 惰性掺杂元素」+ </w:t>
            </w:r>
            <w:r>
              <w:rPr>
                <w:rFonts w:ascii="Times New Roman" w:hAnsi="Times New Roman" w:eastAsia="宋体"/>
                <w:b/>
                <w:sz w:val="24"/>
              </w:rPr>
              <w:t>工艺维度</w:t>
            </w:r>
            <w:r>
              <w:rPr>
                <w:rFonts w:ascii="Times New Roman" w:hAnsi="Times New Roman" w:eastAsia="宋体"/>
                <w:b w:val="0"/>
                <w:sz w:val="24"/>
              </w:rPr>
              <w:t>差异化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Q&amp;A 备答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"怎么证明重构发生了"（第 5 节三件套）、"活化协议为什么重要"（p.6）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⚠️ 这篇文献没给的（缺口）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全文无 S-number、无 ICP-MS 溶出速率、无 Tafel 数值</w:t>
      </w:r>
      <w:r>
        <w:rPr>
          <w:rFonts w:ascii="Times New Roman" w:hAnsi="Times New Roman" w:eastAsia="宋体"/>
          <w:b w:val="0"/>
          <w:sz w:val="24"/>
        </w:rPr>
        <w:t xml:space="preserve">（已核查）→ 稳定性量化须另找原始文献：Cherevko 组扫描流动池 ICP-MS 工作；Li et al. </w:t>
      </w:r>
      <w:r>
        <w:rPr>
          <w:rFonts w:ascii="Times New Roman" w:hAnsi="Times New Roman" w:eastAsia="宋体"/>
          <w:b w:val="0"/>
          <w:i/>
          <w:sz w:val="24"/>
        </w:rPr>
        <w:t>Angew.</w:t>
      </w:r>
      <w:r>
        <w:rPr>
          <w:rFonts w:ascii="Times New Roman" w:hAnsi="Times New Roman" w:eastAsia="宋体"/>
          <w:b w:val="0"/>
          <w:sz w:val="24"/>
        </w:rPr>
        <w:t xml:space="preserve"> 2019, 58, 5054（见《手动下载清单-课题88》）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酸性部分几乎不涉及 Mn 基材料</w:t>
      </w:r>
      <w:r>
        <w:rPr>
          <w:rFonts w:ascii="Times New Roman" w:hAnsi="Times New Roman" w:eastAsia="宋体"/>
          <w:b w:val="0"/>
          <w:sz w:val="24"/>
        </w:rPr>
        <w:t>（仅 Lin C. 等一例）→ "MnO₂ 在酸性 OER 下的重构基线"要自行建立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