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课题新颖性定位与差异化分析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编制日期：2026年09月18日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课题</w:t>
      </w:r>
      <w:r>
        <w:rPr>
          <w:rFonts w:ascii="Times New Roman" w:hAnsi="Times New Roman" w:eastAsia="宋体"/>
          <w:b w:val="0"/>
          <w:sz w:val="24"/>
        </w:rPr>
        <w:t>：Stabilizing Ruthenium through Ru–O–Mn Interfacial Coupling for Acidic Oxygen Evolution（NUS MSE 311 毕设）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导师</w:t>
      </w:r>
      <w:r>
        <w:rPr>
          <w:rFonts w:ascii="Times New Roman" w:hAnsi="Times New Roman" w:eastAsia="宋体"/>
          <w:b w:val="0"/>
          <w:sz w:val="24"/>
        </w:rPr>
        <w:t>：Prof. Junmin Xue（薛军民）｜</w:t>
      </w:r>
      <w:r>
        <w:rPr>
          <w:rFonts w:ascii="Times New Roman" w:hAnsi="Times New Roman" w:eastAsia="宋体"/>
          <w:b/>
          <w:sz w:val="24"/>
        </w:rPr>
        <w:t>mentor</w:t>
      </w:r>
      <w:r>
        <w:rPr>
          <w:rFonts w:ascii="Times New Roman" w:hAnsi="Times New Roman" w:eastAsia="宋体"/>
          <w:b w:val="0"/>
          <w:sz w:val="24"/>
        </w:rPr>
        <w:t>：Junchen Yu（禹俊辰）｜</w:t>
      </w:r>
      <w:r>
        <w:rPr>
          <w:rFonts w:ascii="Times New Roman" w:hAnsi="Times New Roman" w:eastAsia="宋体"/>
          <w:b/>
          <w:sz w:val="24"/>
        </w:rPr>
        <w:t>分析日期</w:t>
      </w:r>
      <w:r>
        <w:rPr>
          <w:rFonts w:ascii="Times New Roman" w:hAnsi="Times New Roman" w:eastAsia="宋体"/>
          <w:b w:val="0"/>
          <w:sz w:val="24"/>
        </w:rPr>
        <w:t>：2026-09-18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mentor 原始交办</w:t>
      </w:r>
      <w:r>
        <w:rPr>
          <w:rFonts w:ascii="Times New Roman" w:hAnsi="Times New Roman" w:eastAsia="宋体"/>
          <w:b w:val="0"/>
          <w:sz w:val="24"/>
        </w:rPr>
        <w:t>："我们电沉积一个二氧化锰，然后试着利用它的氧化还原性，稳定一下 Ru。"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证据标注</w:t>
      </w:r>
      <w:r>
        <w:rPr>
          <w:rFonts w:ascii="Times New Roman" w:hAnsi="Times New Roman" w:eastAsia="宋体"/>
          <w:b w:val="0"/>
          <w:sz w:val="24"/>
        </w:rPr>
        <w:t xml:space="preserve">：页码 = 该文献 PDF 页；DOI 可点击。凡未能核实者标 </w:t>
      </w:r>
      <w:r>
        <w:rPr>
          <w:rFonts w:ascii="Times New Roman" w:hAnsi="Times New Roman" w:eastAsia="宋体"/>
          <w:b/>
          <w:sz w:val="24"/>
        </w:rPr>
        <w:t>【待确认】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⚠️ 核心警示</w:t>
      </w:r>
      <w:r>
        <w:rPr>
          <w:rFonts w:ascii="Times New Roman" w:hAnsi="Times New Roman" w:eastAsia="宋体"/>
          <w:b w:val="0"/>
          <w:sz w:val="24"/>
        </w:rPr>
        <w:t>：三篇先例已把"MnO₂/Mn 宿主能稳定 Ru"证明到</w:t>
      </w:r>
      <w:r>
        <w:rPr>
          <w:rFonts w:ascii="Times New Roman" w:hAnsi="Times New Roman" w:eastAsia="宋体"/>
          <w:b/>
          <w:sz w:val="24"/>
        </w:rPr>
        <w:t>器件级</w:t>
      </w:r>
      <w:r>
        <w:rPr>
          <w:rFonts w:ascii="Times New Roman" w:hAnsi="Times New Roman" w:eastAsia="宋体"/>
          <w:b w:val="0"/>
          <w:sz w:val="24"/>
        </w:rPr>
        <w:t>（1 A cm⁻² &gt;1000 h）。故</w:t>
      </w:r>
      <w:r>
        <w:rPr>
          <w:rFonts w:ascii="Times New Roman" w:hAnsi="Times New Roman" w:eastAsia="宋体"/>
          <w:b/>
          <w:sz w:val="24"/>
        </w:rPr>
        <w:t>"MnO₂ 稳定 Ru"不再是创新点</w:t>
      </w:r>
      <w:r>
        <w:rPr>
          <w:rFonts w:ascii="Times New Roman" w:hAnsi="Times New Roman" w:eastAsia="宋体"/>
          <w:b w:val="0"/>
          <w:sz w:val="24"/>
        </w:rPr>
        <w:t>；本课题唯一站得住的差异点是</w:t>
      </w:r>
      <w:r>
        <w:rPr>
          <w:rFonts w:ascii="Times New Roman" w:hAnsi="Times New Roman" w:eastAsia="宋体"/>
          <w:b/>
          <w:sz w:val="24"/>
        </w:rPr>
        <w:t>工艺维度（电沉积）能否把界面从"自组织"变成"可设计的连续变量"</w:t>
      </w:r>
      <w:r>
        <w:rPr>
          <w:rFonts w:ascii="Times New Roman" w:hAnsi="Times New Roman" w:eastAsia="宋体"/>
          <w:b w:val="0"/>
          <w:sz w:val="24"/>
        </w:rPr>
        <w:t>。</w:t>
      </w:r>
    </w:p>
    <w:p/>
    <w:p>
      <w:pPr>
        <w:spacing w:before="120" w:after="120"/>
        <w:pBdr>
          <w:bottom w:val="single" w:sz="6" w:color="CCCCCC"/>
        </w:pBdr>
      </w:pP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三篇直接先例对照表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</w:tblGrid>
      <w:tr>
        <w:tc>
          <w:tcPr>
            <w:tcW w:type="dxa" w:w="641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先例① Lin et al. 2021</w:t>
            </w:r>
          </w:p>
        </w:tc>
        <w:tc>
          <w:tcPr>
            <w:tcW w:type="dxa" w:w="4280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先例② Song et al. 2026</w:t>
            </w:r>
          </w:p>
        </w:tc>
        <w:tc>
          <w:tcPr>
            <w:tcW w:type="dxa" w:w="3542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先例③ Yan et al. 2026（本次精读，OA）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出处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/>
                <w:sz w:val="24"/>
              </w:rPr>
              <w:t>Nat. Catal.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2021, 4, 1012–1023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；DOI </w:t>
            </w:r>
            <w:hyperlink r:id="rId10">
              <w:r>
                <w:rPr>
                  <w:rFonts w:ascii="Times New Roman" w:hAnsi="Times New Roman" w:eastAsia="宋体"/>
                  <w:sz w:val="24"/>
                  <w:color w:val="0563C1"/>
                  <w:u w:val="single"/>
                </w:rPr>
                <w:t>10.1038/s41929-021-00703-0</w:t>
              </w:r>
            </w:hyperlink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/>
                <w:sz w:val="24"/>
              </w:rPr>
              <w:t>JACS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2026, 148(2), 2693–2702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；DOI </w:t>
            </w:r>
            <w:hyperlink r:id="rId11">
              <w:r>
                <w:rPr>
                  <w:rFonts w:ascii="Times New Roman" w:hAnsi="Times New Roman" w:eastAsia="宋体"/>
                  <w:sz w:val="24"/>
                  <w:color w:val="0563C1"/>
                  <w:u w:val="single"/>
                </w:rPr>
                <w:t>10.1021/jacs.5c18952</w:t>
              </w:r>
            </w:hyperlink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体系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Ru 原子阵列 patch / α-MnO₂（Ru/MnO₂）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Ru 单原子掺杂 Mn₃O₄（Ru-Mn₃O₄）→ 表面原位长出多孔 MnO₂ 纳米盾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合成路线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一步阳离子交换把 Ru 负载于 α-MnO₂ 纳米纤维（据 AEM 2023 综述 pp.15–16；先例③ Methods 明确把该方法引为文献 25）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先制 Ru-Mn₃O₄；</w:t>
            </w:r>
            <w:r>
              <w:rPr>
                <w:rFonts w:ascii="Times New Roman" w:hAnsi="Times New Roman" w:eastAsia="宋体"/>
                <w:b/>
                <w:sz w:val="24"/>
              </w:rPr>
              <w:t>在电场下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Mn₃O₄ 发生层间滑移与极化旋转，表面原位长出多孔 MnO₂ 纳米盾（摘要）；具体制备参数</w:t>
            </w:r>
            <w:r>
              <w:rPr>
                <w:rFonts w:ascii="Times New Roman" w:hAnsi="Times New Roman" w:eastAsia="宋体"/>
                <w:b/>
                <w:sz w:val="24"/>
              </w:rPr>
              <w:t>待确认</w:t>
            </w:r>
            <w:r>
              <w:rPr>
                <w:rFonts w:ascii="Times New Roman" w:hAnsi="Times New Roman" w:eastAsia="宋体"/>
                <w:b w:val="0"/>
                <w:sz w:val="24"/>
              </w:rPr>
              <w:t>（闭源未读全文）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关键结构证据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析氧中 Mn–Ru 继续交换、原位重构为有序 Ru 原子阵列；重构位点对称，走 </w:t>
            </w:r>
            <w:r>
              <w:rPr>
                <w:rFonts w:ascii="Times New Roman" w:hAnsi="Times New Roman" w:eastAsia="宋体"/>
                <w:b/>
                <w:sz w:val="24"/>
              </w:rPr>
              <w:t>OPM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、只含 </w:t>
            </w:r>
            <w:r>
              <w:rPr>
                <w:rFonts w:ascii="Times New Roman" w:hAnsi="Times New Roman" w:eastAsia="宋体"/>
                <w:b w:val="0"/>
                <w:i/>
                <w:sz w:val="24"/>
              </w:rPr>
              <w:t xml:space="preserve">O / </w:t>
            </w:r>
            <w:r>
              <w:rPr>
                <w:rFonts w:ascii="Times New Roman" w:hAnsi="Times New Roman" w:eastAsia="宋体"/>
                <w:b w:val="0"/>
                <w:sz w:val="24"/>
              </w:rPr>
              <w:t>OH 中间体、直接 O–O 自由基偶联，</w:t>
            </w:r>
            <w:r>
              <w:rPr>
                <w:rFonts w:ascii="Times New Roman" w:hAnsi="Times New Roman" w:eastAsia="宋体"/>
                <w:b/>
                <w:sz w:val="24"/>
              </w:rPr>
              <w:t>不形成氧空位</w:t>
            </w:r>
            <w:r>
              <w:rPr>
                <w:rFonts w:ascii="Times New Roman" w:hAnsi="Times New Roman" w:eastAsia="宋体"/>
                <w:b w:val="0"/>
                <w:sz w:val="24"/>
              </w:rPr>
              <w:t>（摘要 + AEM 2023 pp.15–16）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电场诱导原位自发重构 + MnO₂ 纳米盾；具体表征手段</w:t>
            </w:r>
            <w:r>
              <w:rPr>
                <w:rFonts w:ascii="Times New Roman" w:hAnsi="Times New Roman" w:eastAsia="宋体"/>
                <w:b/>
                <w:sz w:val="24"/>
              </w:rPr>
              <w:t>待确认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性能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η = </w:t>
            </w:r>
            <w:r>
              <w:rPr>
                <w:rFonts w:ascii="Times New Roman" w:hAnsi="Times New Roman" w:eastAsia="宋体"/>
                <w:b/>
                <w:sz w:val="24"/>
              </w:rPr>
              <w:t>161 mV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@10 mA cm⁻²（摘要）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η = </w:t>
            </w:r>
            <w:r>
              <w:rPr>
                <w:rFonts w:ascii="Times New Roman" w:hAnsi="Times New Roman" w:eastAsia="宋体"/>
                <w:b/>
                <w:sz w:val="24"/>
              </w:rPr>
              <w:t>176 mV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@10 mA cm⁻²_geo，</w:t>
            </w:r>
            <w:r>
              <w:rPr>
                <w:rFonts w:ascii="Times New Roman" w:hAnsi="Times New Roman" w:eastAsia="宋体"/>
                <w:b/>
                <w:sz w:val="24"/>
              </w:rPr>
              <w:t>0.5 M H₂SO₄</w:t>
            </w:r>
            <w:r>
              <w:rPr>
                <w:rFonts w:ascii="Times New Roman" w:hAnsi="Times New Roman" w:eastAsia="宋体"/>
                <w:b w:val="0"/>
                <w:sz w:val="24"/>
              </w:rPr>
              <w:t>（摘要）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稳定性判据与数值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&gt;200 h</w:t>
            </w:r>
            <w:r>
              <w:rPr>
                <w:rFonts w:ascii="Times New Roman" w:hAnsi="Times New Roman" w:eastAsia="宋体"/>
                <w:b w:val="0"/>
                <w:sz w:val="24"/>
              </w:rPr>
              <w:t>，小幅衰减；</w:t>
            </w:r>
            <w:r>
              <w:rPr>
                <w:rFonts w:ascii="Times New Roman" w:hAnsi="Times New Roman" w:eastAsia="宋体"/>
                <w:b/>
                <w:sz w:val="24"/>
              </w:rPr>
              <w:t>未给溶解定量与 S-number</w:t>
            </w:r>
            <w:r>
              <w:rPr>
                <w:rFonts w:ascii="Times New Roman" w:hAnsi="Times New Roman" w:eastAsia="宋体"/>
                <w:b w:val="0"/>
                <w:sz w:val="24"/>
              </w:rPr>
              <w:t>【待确认】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50 mA cm⁻² 下 </w:t>
            </w:r>
            <w:r>
              <w:rPr>
                <w:rFonts w:ascii="Times New Roman" w:hAnsi="Times New Roman" w:eastAsia="宋体"/>
                <w:b/>
                <w:sz w:val="24"/>
              </w:rPr>
              <w:t>&gt;8800 h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（&gt;1 年）；PEM 电解槽 1000 mA cm⁻² 衰减 </w:t>
            </w:r>
            <w:r>
              <w:rPr>
                <w:rFonts w:ascii="Times New Roman" w:hAnsi="Times New Roman" w:eastAsia="宋体"/>
                <w:b/>
                <w:sz w:val="24"/>
              </w:rPr>
              <w:t>0.15 mV h⁻¹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、500 mA cm⁻² 衰减 </w:t>
            </w:r>
            <w:r>
              <w:rPr>
                <w:rFonts w:ascii="Times New Roman" w:hAnsi="Times New Roman" w:eastAsia="宋体"/>
                <w:b/>
                <w:sz w:val="24"/>
              </w:rPr>
              <w:t>0.06 mV h⁻¹</w:t>
            </w:r>
            <w:r>
              <w:rPr>
                <w:rFonts w:ascii="Times New Roman" w:hAnsi="Times New Roman" w:eastAsia="宋体"/>
                <w:b w:val="0"/>
                <w:sz w:val="24"/>
              </w:rPr>
              <w:t>（摘要）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是否电沉积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否</w:t>
            </w:r>
            <w:r>
              <w:rPr>
                <w:rFonts w:ascii="Times New Roman" w:hAnsi="Times New Roman" w:eastAsia="宋体"/>
                <w:b w:val="0"/>
                <w:sz w:val="24"/>
              </w:rPr>
              <w:t>（阳离子交换；是否用其他电化学步骤</w:t>
            </w:r>
            <w:r>
              <w:rPr>
                <w:rFonts w:ascii="Times New Roman" w:hAnsi="Times New Roman" w:eastAsia="宋体"/>
                <w:b/>
                <w:sz w:val="24"/>
              </w:rPr>
              <w:t>待确认</w:t>
            </w:r>
            <w:r>
              <w:rPr>
                <w:rFonts w:ascii="Times New Roman" w:hAnsi="Times New Roman" w:eastAsia="宋体"/>
                <w:b w:val="0"/>
                <w:sz w:val="24"/>
              </w:rPr>
              <w:t>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是，但不是"电沉积 MnO₂"</w:t>
            </w:r>
            <w:r>
              <w:rPr>
                <w:rFonts w:ascii="Times New Roman" w:hAnsi="Times New Roman" w:eastAsia="宋体"/>
                <w:b w:val="0"/>
                <w:sz w:val="24"/>
              </w:rPr>
              <w:t>——是"电场诱导原位生成 MnO₂ 保护层"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局限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只报 &gt;200 h，无溶解定量、无 S-number；仅 α 相；界面不可主动调控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起始相是 Mn₃O₄ 而非 MnO₂；保护层"原位长出"、厚度与相不可事先设计；闭源，结构证据链</w:t>
            </w:r>
            <w:r>
              <w:rPr>
                <w:rFonts w:ascii="Times New Roman" w:hAnsi="Times New Roman" w:eastAsia="宋体"/>
                <w:b/>
                <w:sz w:val="24"/>
              </w:rPr>
              <w:t>待确认</w:t>
            </w:r>
          </w:p>
        </w:tc>
      </w:tr>
    </w:tbl>
    <w:p/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重叠度判定：哪些点已经不再新颖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逐条比对"本课题拟做的"与"三篇先例已做的"：</w:t>
      </w:r>
    </w:p>
    <w:p/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</w:tblGrid>
      <w:tr>
        <w:tc>
          <w:tcPr>
            <w:tcW w:type="dxa" w:w="1355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本课题拟做</w:t>
            </w:r>
          </w:p>
        </w:tc>
        <w:tc>
          <w:tcPr>
            <w:tcW w:type="dxa" w:w="6402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已被先例证明</w:t>
            </w:r>
          </w:p>
        </w:tc>
        <w:tc>
          <w:tcPr>
            <w:tcW w:type="dxa" w:w="706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判定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用 MnO₂ 稳定 Ru 的酸性 OER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① 161 mV / &gt;200 h；③ 1750 h + S-number 4.37×10⁸ + PEMWE 1000 h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已不新颖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Ru–O–Mn 界面/基序存在并起作用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③ EXAFS 2.36 Å（Ru–O–Ru 消失）（p.3）；① 重构后 OPM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已不新颖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"利用 Mn 的氧化还原性"（Mn³⁺/Mn⁴⁺ 变价）作电荷储库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③ Mn 平均价态 +3.14（p.3）；quasi in situ XPS 显示 Mn 2p、O 1s 随电位</w:t>
            </w:r>
            <w:r>
              <w:rPr>
                <w:rFonts w:ascii="Times New Roman" w:hAnsi="Times New Roman" w:eastAsia="宋体"/>
                <w:b/>
                <w:sz w:val="24"/>
              </w:rPr>
              <w:t>同步可逆</w:t>
            </w:r>
            <w:r>
              <w:rPr>
                <w:rFonts w:ascii="Times New Roman" w:hAnsi="Times New Roman" w:eastAsia="宋体"/>
                <w:b w:val="0"/>
                <w:sz w:val="24"/>
              </w:rPr>
              <w:t>位移（p.7）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已不新颖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MnO₂ 表面羟基介导的质子–电子缓冲机制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③ 羟基 21.59% → 36.97% → 36.31% 的可逆变化 + 去羟基对照（p.7）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已不新颖，且是最新机制层结论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酸性长期稳定 + 器件级验证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② 8800 h 半电池、PEM 1000 mA cm⁻²；③ PEMWE 1 A cm⁻² &gt;1000 h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已不新颖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电沉积作为构筑 Ru–O–Mn 界面的"工艺变量"</w:t>
            </w:r>
            <w:r>
              <w:rPr>
                <w:rFonts w:ascii="Times New Roman" w:hAnsi="Times New Roman" w:eastAsia="宋体"/>
                <w:b w:val="0"/>
                <w:sz w:val="24"/>
              </w:rPr>
              <w:t>（而非仅制电极）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无。③ 的电沉积只造 MnO₂ 电极，Ru 靠后处理离子交换；② 靠电场原位生成、非预先沉积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仍然新颖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MnO₂ 晶相（α/γ/δ vs β）与晶面作变量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部分空白（① 用 α、③ 用 β）。⚠️ 但 ③ 的文献 30 = She et al., </w:t>
            </w:r>
            <w:r>
              <w:rPr>
                <w:rFonts w:ascii="Times New Roman" w:hAnsi="Times New Roman" w:eastAsia="宋体"/>
                <w:b w:val="0"/>
                <w:i/>
                <w:sz w:val="24"/>
              </w:rPr>
              <w:t>JACS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2025, 147, 24392–24402 </w:t>
            </w:r>
            <w:r>
              <w:rPr>
                <w:rFonts w:ascii="Times New Roman" w:hAnsi="Times New Roman" w:eastAsia="宋体"/>
                <w:b w:val="0"/>
                <w:i/>
                <w:sz w:val="24"/>
              </w:rPr>
              <w:t>"Optimizing the Ru catalyst-support interaction via the tunnel size of MnO₂ support"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已系统研究 MnO₂ 隧道尺寸对 Ru–载体作用的影响 → </w:t>
            </w:r>
            <w:r>
              <w:rPr>
                <w:rFonts w:ascii="Times New Roman" w:hAnsi="Times New Roman" w:eastAsia="宋体"/>
                <w:b/>
                <w:sz w:val="24"/>
              </w:rPr>
              <w:t>必须查重，待确认</w:t>
            </w:r>
          </w:p>
        </w:tc>
        <w:tc>
          <w:tcPr>
            <w:tcW w:type="dxa" w:w="2822"/>
          </w:tcPr>
          <w:p/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电位–电流–pH 三参数调控界面密度与构型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无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仍然新颖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Mn/Ru 双元素溶出的时间分辨核算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③ 只给积分值（0.43% / 1.02%），无速率曲线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部分新颖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无粘结剂自支撑电极的界面差异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③ RDE 样为滴涂（含炭黑 + Nafion，p.9）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仍然新颖</w:t>
            </w:r>
          </w:p>
        </w:tc>
      </w:tr>
    </w:tbl>
    <w:p/>
    <w:p/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一句话判定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/>
          <w:sz w:val="24"/>
        </w:rPr>
        <w:t>化学层面（Mn 能不能稳定 Ru、Ru–O–Mn 界面长什么样）已被三篇先例解决到器件级；工艺层面（这个界面能不能被"做"出来、能不能被"调"）几乎完全空白。</w:t>
      </w:r>
      <w:r>
        <w:rPr>
          <w:rFonts w:ascii="Times New Roman" w:hAnsi="Times New Roman" w:eastAsia="宋体"/>
          <w:b w:val="0"/>
          <w:sz w:val="24"/>
        </w:rPr>
        <w:t xml:space="preserve"> 课题必须活在后者。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可行的差异化维度（按可行性排序）</w:t>
      </w:r>
    </w:p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① 电沉积作为工艺变量（最可行，且是 mentor 的原始思路）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已有证据支持可行</w:t>
      </w:r>
      <w:r>
        <w:rPr>
          <w:rFonts w:ascii="Times New Roman" w:hAnsi="Times New Roman" w:eastAsia="宋体"/>
          <w:b w:val="0"/>
          <w:sz w:val="24"/>
        </w:rPr>
        <w:t>：③ p.8 给出可直接照搬的阳极电沉积配方（0.3 M MnSO₄ + 0.36 M H₂SO₄、94 °C、7 mA cm⁻²×1 h、450 °C/5 h 退火、Pt/Ti felt 基底）；AEM 2023 综述 p.6 指出电化学活化方式（CV 完全氧化 vs CP 部分重构）会改变重构程度。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需要哪些实验证明</w:t>
      </w:r>
      <w:r>
        <w:rPr>
          <w:rFonts w:ascii="Times New Roman" w:hAnsi="Times New Roman" w:eastAsia="宋体"/>
          <w:b w:val="0"/>
          <w:sz w:val="24"/>
        </w:rPr>
        <w:t>：i) 电沉积 MnO₂ 的相纯度与晶面暴露（XRD + Raman + HRTEM）；ii) 改用电沉积 MnO₂ 作宿主后能否复现 ③ 的界面硬判据（EXAFS 出现 Ru–O–Mn 2.36 Å 且 Ru–O–Ru 消失）；iii) 沉积电量梯度（0.5/1/2/5/10 mC cm⁻²）→ 边缘位密度 → Ru 载量/界面密度的</w:t>
      </w:r>
      <w:r>
        <w:rPr>
          <w:rFonts w:ascii="Times New Roman" w:hAnsi="Times New Roman" w:eastAsia="宋体"/>
          <w:b/>
          <w:sz w:val="24"/>
        </w:rPr>
        <w:t>定量关系曲线</w:t>
      </w:r>
      <w:r>
        <w:rPr>
          <w:rFonts w:ascii="Times New Roman" w:hAnsi="Times New Roman" w:eastAsia="宋体"/>
          <w:b w:val="0"/>
          <w:sz w:val="24"/>
        </w:rPr>
        <w:t>（③ 只有单一最优 x=0.03）；iv) 共沉积 / 顺序沉积 / 后浸渍三种 Ru 引入方式对照。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② Mn 的氧化还原性作为可调变量（Mn³⁺/Mn⁴⁺ 比例 + 羟基覆盖度）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已有证据支持可行</w:t>
      </w:r>
      <w:r>
        <w:rPr>
          <w:rFonts w:ascii="Times New Roman" w:hAnsi="Times New Roman" w:eastAsia="宋体"/>
          <w:b w:val="0"/>
          <w:sz w:val="24"/>
        </w:rPr>
        <w:t xml:space="preserve">：③ 用 </w:t>
      </w:r>
      <w:r>
        <w:rPr>
          <w:rFonts w:ascii="Times New Roman" w:hAnsi="Times New Roman" w:eastAsia="宋体"/>
          <w:b/>
          <w:sz w:val="24"/>
        </w:rPr>
        <w:t>Mn 3s XPS 多重分裂</w:t>
      </w:r>
      <w:r>
        <w:rPr>
          <w:rFonts w:ascii="Times New Roman" w:hAnsi="Times New Roman" w:eastAsia="宋体"/>
          <w:b w:val="0"/>
          <w:sz w:val="24"/>
        </w:rPr>
        <w:t>定出 Mn 平均价态 +3.14（p.3），方法可照搬；quasi in situ XPS 定量羟基随电位的可逆变化（21.59% → 36.97% → 36.31%，p.7）；p.2 明确思路受赝电容原理启发。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需要哪些实验证明</w:t>
      </w:r>
      <w:r>
        <w:rPr>
          <w:rFonts w:ascii="Times New Roman" w:hAnsi="Times New Roman" w:eastAsia="宋体"/>
          <w:b w:val="0"/>
          <w:sz w:val="24"/>
        </w:rPr>
        <w:t>：i) 电沉积参数（电位 / 电流 / 浴 pH）能否系统改变 Mn³⁺/Mn⁴⁺ 比例（Mn 3s XPS + Mn K-edge XANES）；ii) 该比例与羟基覆盖度、Ru 溶出速率是否</w:t>
      </w:r>
      <w:r>
        <w:rPr>
          <w:rFonts w:ascii="Times New Roman" w:hAnsi="Times New Roman" w:eastAsia="宋体"/>
          <w:b/>
          <w:sz w:val="24"/>
        </w:rPr>
        <w:t>相关</w:t>
      </w:r>
      <w:r>
        <w:rPr>
          <w:rFonts w:ascii="Times New Roman" w:hAnsi="Times New Roman" w:eastAsia="宋体"/>
          <w:b w:val="0"/>
          <w:sz w:val="24"/>
        </w:rPr>
        <w:t>（梯度 + ICP）；iii) 缺真空转移 XPS 时，可用甲醇氧化（MOR）电流等电化学探针替代（③ p.5）。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③ MnO₂ 晶相/晶面与"酸中稳定电位窗口"作为设计变量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已有证据支持可行</w:t>
      </w:r>
      <w:r>
        <w:rPr>
          <w:rFonts w:ascii="Times New Roman" w:hAnsi="Times New Roman" w:eastAsia="宋体"/>
          <w:b w:val="0"/>
          <w:sz w:val="24"/>
        </w:rPr>
        <w:t>：① 用 α-MnO₂ 成功；③ 用 β-MnO₂(110)；</w:t>
      </w:r>
      <w:r>
        <w:rPr>
          <w:rFonts w:ascii="Times New Roman" w:hAnsi="Times New Roman" w:eastAsia="宋体"/>
          <w:b/>
          <w:sz w:val="24"/>
        </w:rPr>
        <w:t xml:space="preserve">Li et al., </w:t>
      </w:r>
      <w:r>
        <w:rPr>
          <w:rFonts w:ascii="Times New Roman" w:hAnsi="Times New Roman" w:eastAsia="宋体"/>
          <w:b/>
          <w:i/>
          <w:sz w:val="24"/>
        </w:rPr>
        <w:t>Angew. Chem. Int. Ed.</w:t>
      </w:r>
      <w:r>
        <w:rPr>
          <w:rFonts w:ascii="Times New Roman" w:hAnsi="Times New Roman" w:eastAsia="宋体"/>
          <w:b/>
          <w:sz w:val="24"/>
        </w:rPr>
        <w:t xml:space="preserve"> 2019, 58, 5054–5058</w:t>
      </w:r>
      <w:r>
        <w:rPr>
          <w:rFonts w:ascii="Times New Roman" w:hAnsi="Times New Roman" w:eastAsia="宋体"/>
          <w:b w:val="0"/>
          <w:sz w:val="24"/>
        </w:rPr>
        <w:t xml:space="preserve">（DOI </w:t>
      </w:r>
      <w:hyperlink r:id="rId12">
        <w:r>
          <w:rPr>
            <w:rFonts w:ascii="Times New Roman" w:hAnsi="Times New Roman" w:eastAsia="宋体"/>
            <w:sz w:val="24"/>
            <w:color w:val="0563C1"/>
            <w:u w:val="single"/>
          </w:rPr>
          <w:t>10.1002/anie.201813361</w:t>
        </w:r>
      </w:hyperlink>
      <w:r>
        <w:rPr>
          <w:rFonts w:ascii="Times New Roman" w:hAnsi="Times New Roman" w:eastAsia="宋体"/>
          <w:b w:val="0"/>
          <w:sz w:val="24"/>
        </w:rPr>
        <w:t xml:space="preserve">）证明 γ-MnO₂ 在 pH 2 可 </w:t>
      </w:r>
      <w:r>
        <w:rPr>
          <w:rFonts w:ascii="Times New Roman" w:hAnsi="Times New Roman" w:eastAsia="宋体"/>
          <w:b/>
          <w:sz w:val="24"/>
        </w:rPr>
        <w:t>8000 h</w:t>
      </w:r>
      <w:r>
        <w:rPr>
          <w:rFonts w:ascii="Times New Roman" w:hAnsi="Times New Roman" w:eastAsia="宋体"/>
          <w:b w:val="0"/>
          <w:sz w:val="24"/>
        </w:rPr>
        <w:t xml:space="preserve"> 不失活，但</w:t>
      </w:r>
      <w:r>
        <w:rPr>
          <w:rFonts w:ascii="Times New Roman" w:hAnsi="Times New Roman" w:eastAsia="宋体"/>
          <w:b/>
          <w:sz w:val="24"/>
        </w:rPr>
        <w:t>偏离"稳定电位窗口"仅 50 mV 即失效</w:t>
      </w:r>
      <w:r>
        <w:rPr>
          <w:rFonts w:ascii="Times New Roman" w:hAnsi="Times New Roman" w:eastAsia="宋体"/>
          <w:b w:val="0"/>
          <w:sz w:val="24"/>
        </w:rPr>
        <w:t>；</w:t>
      </w:r>
      <w:r>
        <w:rPr>
          <w:rFonts w:ascii="Times New Roman" w:hAnsi="Times New Roman" w:eastAsia="宋体"/>
          <w:b/>
          <w:sz w:val="24"/>
        </w:rPr>
        <w:t xml:space="preserve">Kong et al., </w:t>
      </w:r>
      <w:r>
        <w:rPr>
          <w:rFonts w:ascii="Times New Roman" w:hAnsi="Times New Roman" w:eastAsia="宋体"/>
          <w:b/>
          <w:i/>
          <w:sz w:val="24"/>
        </w:rPr>
        <w:t>Nat. Catal.</w:t>
      </w:r>
      <w:r>
        <w:rPr>
          <w:rFonts w:ascii="Times New Roman" w:hAnsi="Times New Roman" w:eastAsia="宋体"/>
          <w:b/>
          <w:sz w:val="24"/>
        </w:rPr>
        <w:t xml:space="preserve"> 2024, 7, 252–261</w:t>
      </w:r>
      <w:r>
        <w:rPr>
          <w:rFonts w:ascii="Times New Roman" w:hAnsi="Times New Roman" w:eastAsia="宋体"/>
          <w:b w:val="0"/>
          <w:sz w:val="24"/>
        </w:rPr>
        <w:t xml:space="preserve">（DOI </w:t>
      </w:r>
      <w:hyperlink r:id="rId13">
        <w:r>
          <w:rPr>
            <w:rFonts w:ascii="Times New Roman" w:hAnsi="Times New Roman" w:eastAsia="宋体"/>
            <w:sz w:val="24"/>
            <w:color w:val="0563C1"/>
            <w:u w:val="single"/>
          </w:rPr>
          <w:t>10.1038/s41929-023-01091-3</w:t>
        </w:r>
      </w:hyperlink>
      <w:r>
        <w:rPr>
          <w:rFonts w:ascii="Times New Roman" w:hAnsi="Times New Roman" w:eastAsia="宋体"/>
          <w:b w:val="0"/>
          <w:sz w:val="24"/>
        </w:rPr>
        <w:t xml:space="preserve">，③ 的文献 37）证明以"平面氧"替代"锥形氧"可让 MnO₂ 在 </w:t>
      </w:r>
      <w:r>
        <w:rPr>
          <w:rFonts w:ascii="Times New Roman" w:hAnsi="Times New Roman" w:eastAsia="宋体"/>
          <w:b/>
          <w:sz w:val="24"/>
        </w:rPr>
        <w:t>1 M H₂SO₄</w:t>
      </w:r>
      <w:r>
        <w:rPr>
          <w:rFonts w:ascii="Times New Roman" w:hAnsi="Times New Roman" w:eastAsia="宋体"/>
          <w:b w:val="0"/>
          <w:sz w:val="24"/>
        </w:rPr>
        <w:t xml:space="preserve"> 中 1000 mA cm⁻² 运行 </w:t>
      </w:r>
      <w:r>
        <w:rPr>
          <w:rFonts w:ascii="Times New Roman" w:hAnsi="Times New Roman" w:eastAsia="宋体"/>
          <w:b/>
          <w:sz w:val="24"/>
        </w:rPr>
        <w:t>&gt;1 个月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需要哪些实验证明</w:t>
      </w:r>
      <w:r>
        <w:rPr>
          <w:rFonts w:ascii="Times New Roman" w:hAnsi="Times New Roman" w:eastAsia="宋体"/>
          <w:b w:val="0"/>
          <w:sz w:val="24"/>
        </w:rPr>
        <w:t>：i) 电沉积能否得到单相 α / γ / δ / β（XRD + Raman）；ii) 各相 Mn 溶出基线（电位阶梯 + ICP）；iii) Ru 锚定位置是否随相变化（STEM + EXAFS）。⚠️ 先做 She et al. 2025 查重。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④ Mn/Ru 双元素溶出的时间分辨核算与 S-number 完整报告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已有证据支持可行</w:t>
      </w:r>
      <w:r>
        <w:rPr>
          <w:rFonts w:ascii="Times New Roman" w:hAnsi="Times New Roman" w:eastAsia="宋体"/>
          <w:b w:val="0"/>
          <w:sz w:val="24"/>
        </w:rPr>
        <w:t>：③ p.9 给出 S-number 定义式（析出 O₂ 摩尔数 / 溶解金属摩尔数）与 ICP-OES 测法；p.4 给出可对标量级（1750 h 后 Ru 0.43% / Mn 1.02%）。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需要哪些实验证明</w:t>
      </w:r>
      <w:r>
        <w:rPr>
          <w:rFonts w:ascii="Times New Roman" w:hAnsi="Times New Roman" w:eastAsia="宋体"/>
          <w:b w:val="0"/>
          <w:sz w:val="24"/>
        </w:rPr>
        <w:t>：i) 分段取样的 Ru、Mn 溶出</w:t>
      </w:r>
      <w:r>
        <w:rPr>
          <w:rFonts w:ascii="Times New Roman" w:hAnsi="Times New Roman" w:eastAsia="宋体"/>
          <w:b/>
          <w:sz w:val="24"/>
        </w:rPr>
        <w:t>速率曲线</w:t>
      </w:r>
      <w:r>
        <w:rPr>
          <w:rFonts w:ascii="Times New Roman" w:hAnsi="Times New Roman" w:eastAsia="宋体"/>
          <w:b w:val="0"/>
          <w:sz w:val="24"/>
        </w:rPr>
        <w:t>（ng cm⁻² h⁻¹），而非单一累积百分比；ii) Mn/Ru 溶出比随时间的演化——若 Mn 是牺牲型缓冲组分，二者应存在耦合（③ 终点 Mn/Ru ≈ 2.4）；iii) S-number 随时间的变化。</w:t>
      </w:r>
      <w:r>
        <w:rPr>
          <w:rFonts w:ascii="Times New Roman" w:hAnsi="Times New Roman" w:eastAsia="宋体"/>
          <w:b/>
          <w:sz w:val="24"/>
        </w:rPr>
        <w:t>前置条件</w:t>
      </w:r>
      <w:r>
        <w:rPr>
          <w:rFonts w:ascii="Times New Roman" w:hAnsi="Times New Roman" w:eastAsia="宋体"/>
          <w:b w:val="0"/>
          <w:sz w:val="24"/>
        </w:rPr>
        <w:t>：组内须有 ppb 级 ICP-MS/OES。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⑤ 无粘结剂自支撑电极的界面差异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已有证据支持可行</w:t>
      </w:r>
      <w:r>
        <w:rPr>
          <w:rFonts w:ascii="Times New Roman" w:hAnsi="Times New Roman" w:eastAsia="宋体"/>
          <w:b w:val="0"/>
          <w:sz w:val="24"/>
        </w:rPr>
        <w:t>：③ 证明自支撑电极可做 PEMWE 阳极（p.9，CCS 法 + Nafion 115）；而其 RDE 基础样是含炭黑 + Nafion 的滴涂膜（p.9）——</w:t>
      </w:r>
      <w:r>
        <w:rPr>
          <w:rFonts w:ascii="Times New Roman" w:hAnsi="Times New Roman" w:eastAsia="宋体"/>
          <w:b/>
          <w:sz w:val="24"/>
        </w:rPr>
        <w:t>同一材料在两种电极形态下的界面与稳定性从未被直接比较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需要哪些实验证明</w:t>
      </w:r>
      <w:r>
        <w:rPr>
          <w:rFonts w:ascii="Times New Roman" w:hAnsi="Times New Roman" w:eastAsia="宋体"/>
          <w:b w:val="0"/>
          <w:sz w:val="24"/>
        </w:rPr>
        <w:t>：同一批电沉积 MnO₂ 分别以自支撑与滴涂形式做 OER 与稳定性，比较 EXAFS 界面证据、ECSA 归一化活性与溶出速率。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⑥ 器件级验证（PEM/AEM）——最晚做、风险最高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已有证据支持可行</w:t>
      </w:r>
      <w:r>
        <w:rPr>
          <w:rFonts w:ascii="Times New Roman" w:hAnsi="Times New Roman" w:eastAsia="宋体"/>
          <w:b w:val="0"/>
          <w:sz w:val="24"/>
        </w:rPr>
        <w:t>：③ p.9 的 MEA 组装流程完整可抄；② 给出器件衰减率对标（1000 mA cm⁻² 下 0.15 mV h⁻¹）。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需要哪些实验证明</w:t>
      </w:r>
      <w:r>
        <w:rPr>
          <w:rFonts w:ascii="Times New Roman" w:hAnsi="Times New Roman" w:eastAsia="宋体"/>
          <w:b w:val="0"/>
          <w:sz w:val="24"/>
        </w:rPr>
        <w:t>：免喷涂的自支撑电沉积电极能否直接作阳极，以及 1 A cm⁻² 下 Mn 溶出是否可接受。</w:t>
      </w:r>
      <w:r>
        <w:rPr>
          <w:rFonts w:ascii="Times New Roman" w:hAnsi="Times New Roman" w:eastAsia="宋体"/>
          <w:b/>
          <w:sz w:val="24"/>
        </w:rPr>
        <w:t>建议放在有 ≥3 个月稳定数据的样品上再做。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风险与 go/no-go 关卡</w:t>
      </w:r>
    </w:p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4.1 风险本体：MnO₂ 的酸稳定窗口与 OER 窗口重叠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硬证据（R0）</w:t>
      </w:r>
      <w:r>
        <w:rPr>
          <w:rFonts w:ascii="Times New Roman" w:hAnsi="Times New Roman" w:eastAsia="宋体"/>
          <w:b w:val="0"/>
          <w:sz w:val="24"/>
        </w:rPr>
        <w:t>：③ p.5 观察到</w:t>
      </w:r>
      <w:r>
        <w:rPr>
          <w:rFonts w:ascii="Times New Roman" w:hAnsi="Times New Roman" w:eastAsia="宋体"/>
          <w:b/>
          <w:sz w:val="24"/>
        </w:rPr>
        <w:t>纯 β-MnO₂ 在 &gt;1.7 V vs RHE 出现 ~839 cm⁻¹ 的 MnO₄⁻ 拉曼峰</w:t>
      </w:r>
      <w:r>
        <w:rPr>
          <w:rFonts w:ascii="Times New Roman" w:hAnsi="Times New Roman" w:eastAsia="宋体"/>
          <w:b w:val="0"/>
          <w:sz w:val="24"/>
        </w:rPr>
        <w:t xml:space="preserve">（可溶高锰酸根），而 Ru₀.₀₃Mn₀.₉₇O₂ </w:t>
      </w:r>
      <w:r>
        <w:rPr>
          <w:rFonts w:ascii="Times New Roman" w:hAnsi="Times New Roman" w:eastAsia="宋体"/>
          <w:b/>
          <w:sz w:val="24"/>
        </w:rPr>
        <w:t>全程无此峰</w:t>
      </w:r>
      <w:r>
        <w:rPr>
          <w:rFonts w:ascii="Times New Roman" w:hAnsi="Times New Roman" w:eastAsia="宋体"/>
          <w:b w:val="0"/>
          <w:sz w:val="24"/>
        </w:rPr>
        <w:t>。→ 纯 MnO₂ 自身在高电位会被过氧化溶解；Ru 掺杂"看起来"抬高了上限，但</w:t>
      </w:r>
      <w:r>
        <w:rPr>
          <w:rFonts w:ascii="Times New Roman" w:hAnsi="Times New Roman" w:eastAsia="宋体"/>
          <w:b/>
          <w:sz w:val="24"/>
        </w:rPr>
        <w:t>机制未被单独证明</w:t>
      </w:r>
      <w:r>
        <w:rPr>
          <w:rFonts w:ascii="Times New Roman" w:hAnsi="Times New Roman" w:eastAsia="宋体"/>
          <w:b w:val="0"/>
          <w:sz w:val="24"/>
        </w:rPr>
        <w:t>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外部证据（R1）</w:t>
      </w:r>
      <w:r>
        <w:rPr>
          <w:rFonts w:ascii="Times New Roman" w:hAnsi="Times New Roman" w:eastAsia="宋体"/>
          <w:b w:val="0"/>
          <w:sz w:val="24"/>
        </w:rPr>
        <w:t>：γ-MnO₂ 的稳定性是</w:t>
      </w:r>
      <w:r>
        <w:rPr>
          <w:rFonts w:ascii="Times New Roman" w:hAnsi="Times New Roman" w:eastAsia="宋体"/>
          <w:b/>
          <w:sz w:val="24"/>
        </w:rPr>
        <w:t>窗口型</w:t>
      </w:r>
      <w:r>
        <w:rPr>
          <w:rFonts w:ascii="Times New Roman" w:hAnsi="Times New Roman" w:eastAsia="宋体"/>
          <w:b w:val="0"/>
          <w:sz w:val="24"/>
        </w:rPr>
        <w:t xml:space="preserve">而非绝对型——Li et al. </w:t>
      </w:r>
      <w:r>
        <w:rPr>
          <w:rFonts w:ascii="Times New Roman" w:hAnsi="Times New Roman" w:eastAsia="宋体"/>
          <w:b w:val="0"/>
          <w:i/>
          <w:sz w:val="24"/>
        </w:rPr>
        <w:t>Angew.</w:t>
      </w:r>
      <w:r>
        <w:rPr>
          <w:rFonts w:ascii="Times New Roman" w:hAnsi="Times New Roman" w:eastAsia="宋体"/>
          <w:b w:val="0"/>
          <w:sz w:val="24"/>
        </w:rPr>
        <w:t xml:space="preserve"> 2019（DOI 见 §三③）指出偏离稳定窗口哪怕 50 mV 即失效；Kong et al. </w:t>
      </w:r>
      <w:r>
        <w:rPr>
          <w:rFonts w:ascii="Times New Roman" w:hAnsi="Times New Roman" w:eastAsia="宋体"/>
          <w:b w:val="0"/>
          <w:i/>
          <w:sz w:val="24"/>
        </w:rPr>
        <w:t>Nat. Catal.</w:t>
      </w:r>
      <w:r>
        <w:rPr>
          <w:rFonts w:ascii="Times New Roman" w:hAnsi="Times New Roman" w:eastAsia="宋体"/>
          <w:b w:val="0"/>
          <w:sz w:val="24"/>
        </w:rPr>
        <w:t xml:space="preserve"> 2024（DOI 见 §三③）则证明可通过晶格氧结构工程（平面氧替代锥形氧）显著拓宽该窗口。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可接受量级对标（R0）</w:t>
      </w:r>
      <w:r>
        <w:rPr>
          <w:rFonts w:ascii="Times New Roman" w:hAnsi="Times New Roman" w:eastAsia="宋体"/>
          <w:b w:val="0"/>
          <w:sz w:val="24"/>
        </w:rPr>
        <w:t>：③ 半电池 20 mA cm⁻² 下 1750 h 累积 Mn 溶出 1.02%（p.4）——</w:t>
      </w:r>
      <w:r>
        <w:rPr>
          <w:rFonts w:ascii="Times New Roman" w:hAnsi="Times New Roman" w:eastAsia="宋体"/>
          <w:b/>
          <w:sz w:val="24"/>
        </w:rPr>
        <w:t>这是"可接受"的参考上限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矛盾之处（R2，须写进 pre 风险页）</w:t>
      </w:r>
      <w:r>
        <w:rPr>
          <w:rFonts w:ascii="Times New Roman" w:hAnsi="Times New Roman" w:eastAsia="宋体"/>
          <w:b w:val="0"/>
          <w:sz w:val="24"/>
        </w:rPr>
        <w:t>：③ 的 η=232 mV @10 mA cm⁻² 对应阳极电位约 1.46 V vs RHE，距 1.7 V 有约 240 mV 余量；但器件 3 A cm⁻² @1.96 V 时阳极局部电位远高于 1.7 V，</w:t>
      </w:r>
      <w:r>
        <w:rPr>
          <w:rFonts w:ascii="Times New Roman" w:hAnsi="Times New Roman" w:eastAsia="宋体"/>
          <w:b/>
          <w:sz w:val="24"/>
        </w:rPr>
        <w:t>却仍稳定 &gt;1000 h</w:t>
      </w:r>
      <w:r>
        <w:rPr>
          <w:rFonts w:ascii="Times New Roman" w:hAnsi="Times New Roman" w:eastAsia="宋体"/>
          <w:b w:val="0"/>
          <w:sz w:val="24"/>
        </w:rPr>
        <w:t>。说明"1.7 V 阈值"并非硬墙，但</w:t>
      </w:r>
      <w:r>
        <w:rPr>
          <w:rFonts w:ascii="Times New Roman" w:hAnsi="Times New Roman" w:eastAsia="宋体"/>
          <w:b/>
          <w:sz w:val="24"/>
        </w:rPr>
        <w:t>其可逾越条件（Ru 覆盖度？羟基覆盖度？局部 pH？）本课题必须自己查清</w:t>
      </w:r>
      <w:r>
        <w:rPr>
          <w:rFonts w:ascii="Times New Roman" w:hAnsi="Times New Roman" w:eastAsia="宋体"/>
          <w:b w:val="0"/>
          <w:sz w:val="24"/>
        </w:rPr>
        <w:t>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4.2 第一个 go/no-go 实验设计（建议第 1–3 周完成）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目标</w:t>
      </w:r>
      <w:r>
        <w:rPr>
          <w:rFonts w:ascii="Times New Roman" w:hAnsi="Times New Roman" w:eastAsia="宋体"/>
          <w:b w:val="0"/>
          <w:sz w:val="24"/>
        </w:rPr>
        <w:t>：测出"电沉积 MnO₂ 在 0.5 M H₂SO₄ 中的稳定电位窗口上沿"，并检验 Ru 掺杂能否抬高该上沿。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步骤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样品</w:t>
      </w:r>
      <w:r>
        <w:rPr>
          <w:rFonts w:ascii="Times New Roman" w:hAnsi="Times New Roman" w:eastAsia="宋体"/>
          <w:b w:val="0"/>
          <w:sz w:val="24"/>
        </w:rPr>
        <w:t>（四组对照）：纯电沉积 MnO₂（照搬 ③ p.8 配方起步）｜Ru 后浸渍 MnO₂（照搬 ③ 的 60 °C/24 h + 200 °C/1 h）｜Ru 共沉积 MnO₂｜商业 RuO₂ 参比。基底统一 Ti felt 或 Pt/Ti felt（③ p.9）。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电解液</w:t>
      </w:r>
      <w:r>
        <w:rPr>
          <w:rFonts w:ascii="Times New Roman" w:hAnsi="Times New Roman" w:eastAsia="宋体"/>
          <w:b w:val="0"/>
          <w:sz w:val="24"/>
        </w:rPr>
        <w:t>：主用 0.5 M H₂SO₄（对齐课题设定与先例②）；平行做 0.1 M HClO₄ 以对齐先例③（因为 SO₄²⁻ 吸附会促进重构，AEM 2023 p.9）。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方法 A（电位阶梯溶出扫描）</w:t>
      </w:r>
      <w:r>
        <w:rPr>
          <w:rFonts w:ascii="Times New Roman" w:hAnsi="Times New Roman" w:eastAsia="宋体"/>
          <w:b w:val="0"/>
          <w:sz w:val="24"/>
        </w:rPr>
        <w:t>：在 1.40 / 1.50 / 1.60 / 1.70 / 1.80 / 1.90 V vs RHE 各恒电位 10–30 min，每档后取电解液测 Mn 浓度增量 → 画 "Mn 溶出速率 vs 电位"曲线，</w:t>
      </w:r>
      <w:r>
        <w:rPr>
          <w:rFonts w:ascii="Times New Roman" w:hAnsi="Times New Roman" w:eastAsia="宋体"/>
          <w:b/>
          <w:sz w:val="24"/>
        </w:rPr>
        <w:t>拐点即窗口上沿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方法 B（原位报警判据）</w:t>
      </w:r>
      <w:r>
        <w:rPr>
          <w:rFonts w:ascii="Times New Roman" w:hAnsi="Times New Roman" w:eastAsia="宋体"/>
          <w:b w:val="0"/>
          <w:sz w:val="24"/>
        </w:rPr>
        <w:t>：in situ Raman 监听 ~839 cm⁻¹ 的 MnO₄⁻ 峰出现电位（照搬 ③ p.5 判据）。若组内无原位 Raman，退而用</w:t>
      </w:r>
      <w:r>
        <w:rPr>
          <w:rFonts w:ascii="Times New Roman" w:hAnsi="Times New Roman" w:eastAsia="宋体"/>
          <w:b/>
          <w:sz w:val="24"/>
        </w:rPr>
        <w:t>电解液 UV-Vis</w:t>
      </w:r>
      <w:r>
        <w:rPr>
          <w:rFonts w:ascii="Times New Roman" w:hAnsi="Times New Roman" w:eastAsia="宋体"/>
          <w:b w:val="0"/>
          <w:sz w:val="24"/>
        </w:rPr>
        <w:t xml:space="preserve">（MnO₄⁻ 在约 525 nm 有特征吸收）做半定量 </w:t>
      </w:r>
      <w:r>
        <w:rPr>
          <w:rFonts w:ascii="Times New Roman" w:hAnsi="Times New Roman" w:eastAsia="宋体"/>
          <w:b/>
          <w:sz w:val="24"/>
        </w:rPr>
        <w:t>【待确认设备】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判据（GO）</w:t>
      </w:r>
      <w:r>
        <w:rPr>
          <w:rFonts w:ascii="Times New Roman" w:hAnsi="Times New Roman" w:eastAsia="宋体"/>
          <w:b w:val="0"/>
          <w:sz w:val="24"/>
        </w:rPr>
        <w:t>：纯 MnO₂ 的窗口上沿 ≥ 1.65 V，</w:t>
      </w:r>
      <w:r>
        <w:rPr>
          <w:rFonts w:ascii="Times New Roman" w:hAnsi="Times New Roman" w:eastAsia="宋体"/>
          <w:b/>
          <w:sz w:val="24"/>
        </w:rPr>
        <w:t>且</w:t>
      </w:r>
      <w:r>
        <w:rPr>
          <w:rFonts w:ascii="Times New Roman" w:hAnsi="Times New Roman" w:eastAsia="宋体"/>
          <w:b w:val="0"/>
          <w:sz w:val="24"/>
        </w:rPr>
        <w:t xml:space="preserve"> Ru 掺杂样把上沿抬高 ≥ 50 mV（对标 Li et al. 2019 的 50 mV 敏感性判据）；同时 1.60 V 下恒电位 100 h 的 Mn 溶出 &lt; 0.1%（按 ③ 的 1.02%/1750 h 口径线性外推换算）。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判据（NO-GO / 转向）</w:t>
      </w:r>
      <w:r>
        <w:rPr>
          <w:rFonts w:ascii="Times New Roman" w:hAnsi="Times New Roman" w:eastAsia="宋体"/>
          <w:b w:val="0"/>
          <w:sz w:val="24"/>
        </w:rPr>
        <w:t>：若纯 MnO₂ 与 Ru–MnO₂ 的上沿</w:t>
      </w:r>
      <w:r>
        <w:rPr>
          <w:rFonts w:ascii="Times New Roman" w:hAnsi="Times New Roman" w:eastAsia="宋体"/>
          <w:b/>
          <w:sz w:val="24"/>
        </w:rPr>
        <w:t>均 &lt; 1.55 V</w:t>
      </w:r>
      <w:r>
        <w:rPr>
          <w:rFonts w:ascii="Times New Roman" w:hAnsi="Times New Roman" w:eastAsia="宋体"/>
          <w:b w:val="0"/>
          <w:sz w:val="24"/>
        </w:rPr>
        <w:t>（即低于目标 OER 工作电位），立即转向两条备选：</w:t>
      </w:r>
    </w:p>
    <w:p>
      <w:pPr>
        <w:spacing w:line="360" w:lineRule="auto"/>
        <w:ind w:left="839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备选 a</w:t>
      </w:r>
      <w:r>
        <w:rPr>
          <w:rFonts w:ascii="Times New Roman" w:hAnsi="Times New Roman" w:eastAsia="宋体"/>
          <w:b w:val="0"/>
          <w:sz w:val="24"/>
        </w:rPr>
        <w:t>：改走"电场原位生成 MnO₂ 保护层"路线（先例②，DOI 10.1021/jacs.5c18952）；</w:t>
      </w:r>
    </w:p>
    <w:p>
      <w:pPr>
        <w:spacing w:line="360" w:lineRule="auto"/>
        <w:ind w:left="839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备选 b</w:t>
      </w:r>
      <w:r>
        <w:rPr>
          <w:rFonts w:ascii="Times New Roman" w:hAnsi="Times New Roman" w:eastAsia="宋体"/>
          <w:b w:val="0"/>
          <w:sz w:val="24"/>
        </w:rPr>
        <w:t xml:space="preserve">：把 Mn 从"宿主"降为"掺杂量"，改为 </w:t>
      </w:r>
      <w:r>
        <w:rPr>
          <w:rFonts w:ascii="Times New Roman" w:hAnsi="Times New Roman" w:eastAsia="宋体"/>
          <w:b/>
          <w:sz w:val="24"/>
        </w:rPr>
        <w:t>Mn 掺杂 RuO₂</w:t>
      </w:r>
      <w:r>
        <w:rPr>
          <w:rFonts w:ascii="Times New Roman" w:hAnsi="Times New Roman" w:eastAsia="宋体"/>
          <w:b w:val="0"/>
          <w:sz w:val="24"/>
        </w:rPr>
        <w:t>（</w:t>
      </w:r>
      <w:r>
        <w:rPr>
          <w:rFonts w:ascii="Times New Roman" w:hAnsi="Times New Roman" w:eastAsia="宋体"/>
          <w:b w:val="0"/>
          <w:i/>
          <w:sz w:val="24"/>
        </w:rPr>
        <w:t>ACS Catal.</w:t>
      </w:r>
      <w:r>
        <w:rPr>
          <w:rFonts w:ascii="Times New Roman" w:hAnsi="Times New Roman" w:eastAsia="宋体"/>
          <w:b w:val="0"/>
          <w:sz w:val="24"/>
        </w:rPr>
        <w:t xml:space="preserve"> 2020, 10, 1152–1160，DOI 10.1021/acscatal.9b04595），课题重心转为"Mn 调控 Ru–O 共价性"。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7. </w:t>
      </w:r>
      <w:r>
        <w:rPr>
          <w:rFonts w:ascii="Times New Roman" w:hAnsi="Times New Roman" w:eastAsia="宋体"/>
          <w:b/>
          <w:sz w:val="24"/>
        </w:rPr>
        <w:t>时间预算</w:t>
      </w:r>
      <w:r>
        <w:rPr>
          <w:rFonts w:ascii="Times New Roman" w:hAnsi="Times New Roman" w:eastAsia="宋体"/>
          <w:b w:val="0"/>
          <w:sz w:val="24"/>
        </w:rPr>
        <w:t>：2–3 周（含 ICP 送样周期）。</w:t>
      </w:r>
      <w:r>
        <w:rPr>
          <w:rFonts w:ascii="Times New Roman" w:hAnsi="Times New Roman" w:eastAsia="宋体"/>
          <w:b/>
          <w:sz w:val="24"/>
        </w:rPr>
        <w:t>这一轮实验同时回答了 mentor 的原始问题——"利用 MnO₂ 的氧化还原性"在电化学上到底可不可行。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给 mentor 的 5 个关键提问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课题定位</w:t>
      </w:r>
      <w:r>
        <w:rPr>
          <w:rFonts w:ascii="Times New Roman" w:hAnsi="Times New Roman" w:eastAsia="宋体"/>
          <w:b w:val="0"/>
          <w:sz w:val="24"/>
        </w:rPr>
        <w:t>：三篇先例已把"Mn 宿主稳定 Ru"证到器件级（③ PEMWE 1 A cm⁻² &gt;1000 h）。我们是要在</w:t>
      </w:r>
      <w:r>
        <w:rPr>
          <w:rFonts w:ascii="Times New Roman" w:hAnsi="Times New Roman" w:eastAsia="宋体"/>
          <w:b/>
          <w:sz w:val="24"/>
        </w:rPr>
        <w:t>工艺维度</w:t>
      </w:r>
      <w:r>
        <w:rPr>
          <w:rFonts w:ascii="Times New Roman" w:hAnsi="Times New Roman" w:eastAsia="宋体"/>
          <w:b w:val="0"/>
          <w:sz w:val="24"/>
        </w:rPr>
        <w:t>（电沉积作为可放大、可调界面密度的构筑手段）上做差异化，还是换一个科学问题（例如把 Mn 的"氧化还原缓冲容量"定量化为设计描述符）？——这决定所有实验取舍。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与先例的差异如何界定</w:t>
      </w:r>
      <w:r>
        <w:rPr>
          <w:rFonts w:ascii="Times New Roman" w:hAnsi="Times New Roman" w:eastAsia="宋体"/>
          <w:b w:val="0"/>
          <w:sz w:val="24"/>
        </w:rPr>
        <w:t>：③ 的电沉积</w:t>
      </w:r>
      <w:r>
        <w:rPr>
          <w:rFonts w:ascii="Times New Roman" w:hAnsi="Times New Roman" w:eastAsia="宋体"/>
          <w:b/>
          <w:sz w:val="24"/>
        </w:rPr>
        <w:t>只用于制备自支撑 MnO₂ 电极</w:t>
      </w:r>
      <w:r>
        <w:rPr>
          <w:rFonts w:ascii="Times New Roman" w:hAnsi="Times New Roman" w:eastAsia="宋体"/>
          <w:b w:val="0"/>
          <w:sz w:val="24"/>
        </w:rPr>
        <w:t>，Ru 靠溶液离子交换引入（p.8）。能否把电沉积直接用于</w:t>
      </w:r>
      <w:r>
        <w:rPr>
          <w:rFonts w:ascii="Times New Roman" w:hAnsi="Times New Roman" w:eastAsia="宋体"/>
          <w:b/>
          <w:sz w:val="24"/>
        </w:rPr>
        <w:t>构筑 Ru–O–Mn 界面</w:t>
      </w:r>
      <w:r>
        <w:rPr>
          <w:rFonts w:ascii="Times New Roman" w:hAnsi="Times New Roman" w:eastAsia="宋体"/>
          <w:b w:val="0"/>
          <w:sz w:val="24"/>
        </w:rPr>
        <w:t>（共沉积或顺序沉积），把界面密度变成沉积电量/电位的连续变量？若我做出"界面密度–活性–稳定性"定量曲线，是否足以支撑独立课题？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设备与基底</w:t>
      </w:r>
      <w:r>
        <w:rPr>
          <w:rFonts w:ascii="Times New Roman" w:hAnsi="Times New Roman" w:eastAsia="宋体"/>
          <w:b w:val="0"/>
          <w:sz w:val="24"/>
        </w:rPr>
        <w:t>：组内是否有恒流/恒电位电沉积装置（三电极池、94 °C 加热、Pt/Ti felt 或 Ti felt 基底）？是否具备 i) ppb 级 ICP-MS/OES（Mn/Ru 溶出与 S-number）；ii) 原位 Raman 或 UV-Vis（MnO₄⁻ 报警检测）？</w:t>
      </w:r>
      <w:r>
        <w:rPr>
          <w:rFonts w:ascii="Times New Roman" w:hAnsi="Times New Roman" w:eastAsia="宋体"/>
          <w:b/>
          <w:sz w:val="24"/>
        </w:rPr>
        <w:t>若缺 ICP，S-number 报不出来</w:t>
      </w:r>
      <w:r>
        <w:rPr>
          <w:rFonts w:ascii="Times New Roman" w:hAnsi="Times New Roman" w:eastAsia="宋体"/>
          <w:b w:val="0"/>
          <w:sz w:val="24"/>
        </w:rPr>
        <w:t xml:space="preserve">，须提前定替代指标 </w:t>
      </w:r>
      <w:r>
        <w:rPr>
          <w:rFonts w:ascii="Times New Roman" w:hAnsi="Times New Roman" w:eastAsia="宋体"/>
          <w:b/>
          <w:sz w:val="24"/>
        </w:rPr>
        <w:t>【待确认】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Mn 溶出的容忍度</w:t>
      </w:r>
      <w:r>
        <w:rPr>
          <w:rFonts w:ascii="Times New Roman" w:hAnsi="Times New Roman" w:eastAsia="宋体"/>
          <w:b w:val="0"/>
          <w:sz w:val="24"/>
        </w:rPr>
        <w:t>：先例③ 报告 1750 h 后 Mn 累积溶出 1.02%、Ru 0.43%（p.4）。在毕设约 4 个月实测周期内，组里能接受多大的 Mn 溶出？是否存在"Mn 溶出必须低于 X%"的硬指标，还是可以接受"Mn 作为牺牲组分"的叙事？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产出预期与时间表</w:t>
      </w:r>
      <w:r>
        <w:rPr>
          <w:rFonts w:ascii="Times New Roman" w:hAnsi="Times New Roman" w:eastAsia="宋体"/>
          <w:b w:val="0"/>
          <w:sz w:val="24"/>
        </w:rPr>
        <w:t>：目标是投论文（何种档次）还是以毕设报告 + 数据积累为主？若投论文，需要多长稳定性数据（对标 ③ 的 1750 h 半电池 / 1000 h 器件、② 的 8800 h）？</w:t>
      </w:r>
      <w:r>
        <w:rPr>
          <w:rFonts w:ascii="Times New Roman" w:hAnsi="Times New Roman" w:eastAsia="宋体"/>
          <w:b/>
          <w:sz w:val="24"/>
        </w:rPr>
        <w:t>稳定性时长直接决定排期</w:t>
      </w:r>
      <w:r>
        <w:rPr>
          <w:rFonts w:ascii="Times New Roman" w:hAnsi="Times New Roman" w:eastAsia="宋体"/>
          <w:b w:val="0"/>
          <w:sz w:val="24"/>
        </w:rPr>
        <w:t>，故第一周就应启动 go/no-go 实验（§四.2）。</w:t>
      </w:r>
    </w:p>
    <w:p/>
    <w:p>
      <w:pPr>
        <w:spacing w:before="120" w:after="120"/>
        <w:pBdr>
          <w:bottom w:val="single" w:sz="6" w:color="CCCCCC"/>
        </w:pBdr>
      </w:pP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附：本文件未核实项清单（pre 前须确认）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先例① 的</w:t>
      </w:r>
      <w:r>
        <w:rPr>
          <w:rFonts w:ascii="Times New Roman" w:hAnsi="Times New Roman" w:eastAsia="宋体"/>
          <w:b/>
          <w:sz w:val="24"/>
        </w:rPr>
        <w:t>合成细节与是否使用电化学步骤</w:t>
      </w:r>
      <w:r>
        <w:rPr>
          <w:rFonts w:ascii="Times New Roman" w:hAnsi="Times New Roman" w:eastAsia="宋体"/>
          <w:b w:val="0"/>
          <w:sz w:val="24"/>
        </w:rPr>
        <w:t xml:space="preserve">——闭源，仅据摘要与 AEM 2023 综述 pp.15–16 转述 </w:t>
      </w:r>
      <w:r>
        <w:rPr>
          <w:rFonts w:ascii="Times New Roman" w:hAnsi="Times New Roman" w:eastAsia="宋体"/>
          <w:b/>
          <w:sz w:val="24"/>
        </w:rPr>
        <w:t>【待确认】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先例② 的</w:t>
      </w:r>
      <w:r>
        <w:rPr>
          <w:rFonts w:ascii="Times New Roman" w:hAnsi="Times New Roman" w:eastAsia="宋体"/>
          <w:b/>
          <w:sz w:val="24"/>
        </w:rPr>
        <w:t>具体制备参数与完整表征证据链</w:t>
      </w:r>
      <w:r>
        <w:rPr>
          <w:rFonts w:ascii="Times New Roman" w:hAnsi="Times New Roman" w:eastAsia="宋体"/>
          <w:b w:val="0"/>
          <w:sz w:val="24"/>
        </w:rPr>
        <w:t xml:space="preserve">——闭源，仅据摘要 </w:t>
      </w:r>
      <w:r>
        <w:rPr>
          <w:rFonts w:ascii="Times New Roman" w:hAnsi="Times New Roman" w:eastAsia="宋体"/>
          <w:b/>
          <w:sz w:val="24"/>
        </w:rPr>
        <w:t>【待确认】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 xml:space="preserve">She et al., </w:t>
      </w:r>
      <w:r>
        <w:rPr>
          <w:rFonts w:ascii="Times New Roman" w:hAnsi="Times New Roman" w:eastAsia="宋体"/>
          <w:b/>
          <w:i/>
          <w:sz w:val="24"/>
        </w:rPr>
        <w:t>JACS</w:t>
      </w:r>
      <w:r>
        <w:rPr>
          <w:rFonts w:ascii="Times New Roman" w:hAnsi="Times New Roman" w:eastAsia="宋体"/>
          <w:b/>
          <w:sz w:val="24"/>
        </w:rPr>
        <w:t xml:space="preserve"> 2025, 147, 24392–24402</w:t>
      </w:r>
      <w:r>
        <w:rPr>
          <w:rFonts w:ascii="Times New Roman" w:hAnsi="Times New Roman" w:eastAsia="宋体"/>
          <w:b w:val="0"/>
          <w:sz w:val="24"/>
        </w:rPr>
        <w:t>（MnO₂ 隧道尺寸调控 Ru–载体作用）是否与"晶相变量"创新点冲突——</w:t>
      </w:r>
      <w:r>
        <w:rPr>
          <w:rFonts w:ascii="Times New Roman" w:hAnsi="Times New Roman" w:eastAsia="宋体"/>
          <w:b/>
          <w:sz w:val="24"/>
        </w:rPr>
        <w:t>必须查重</w:t>
      </w:r>
      <w:r>
        <w:rPr>
          <w:rFonts w:ascii="Times New Roman" w:hAnsi="Times New Roman" w:eastAsia="宋体"/>
          <w:b w:val="0"/>
          <w:sz w:val="24"/>
        </w:rPr>
        <w:t>（③ 的文献 30）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 xml:space="preserve">组内 ICP-MS/OES、原位 Raman、UV-Vis 的可用性 </w:t>
      </w:r>
      <w:r>
        <w:rPr>
          <w:rFonts w:ascii="Times New Roman" w:hAnsi="Times New Roman" w:eastAsia="宋体"/>
          <w:b/>
          <w:sz w:val="24"/>
        </w:rPr>
        <w:t>【待确认】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 xml:space="preserve">先例③ 中"溶解势垒高出 1.04 eV"与 2.78 / 1.19 eV 的数值矛盾（p.7），引用前须查其 Fig. S42 </w:t>
      </w:r>
      <w:r>
        <w:rPr>
          <w:rFonts w:ascii="Times New Roman" w:hAnsi="Times New Roman" w:eastAsia="宋体"/>
          <w:b/>
          <w:sz w:val="24"/>
        </w:rPr>
        <w:t>【待确认】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分析完 · 结论均附来源，不确定处已标"待确认"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yperlink" Target="https://doi.org/10.1038/s41929-021-00703-0" TargetMode="External"/><Relationship Id="rId11" Type="http://schemas.openxmlformats.org/officeDocument/2006/relationships/hyperlink" Target="https://doi.org/10.1021/jacs.5c18952" TargetMode="External"/><Relationship Id="rId12" Type="http://schemas.openxmlformats.org/officeDocument/2006/relationships/hyperlink" Target="https://doi.org/10.1002/anie.201813361" TargetMode="External"/><Relationship Id="rId13" Type="http://schemas.openxmlformats.org/officeDocument/2006/relationships/hyperlink" Target="https://doi.org/10.1038/s41929-023-01091-3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