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课题背景调研：Ru 稳定化与 MnO₂ 电沉积（酸性析氧 OER）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编制日期：2026年09月18日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课题</w:t>
      </w:r>
      <w:r>
        <w:rPr>
          <w:rFonts w:ascii="Times New Roman" w:hAnsi="Times New Roman" w:eastAsia="宋体"/>
          <w:b w:val="0"/>
          <w:sz w:val="24"/>
        </w:rPr>
        <w:t>：Stabilizing Ruthenium through Ru–O–Mn Interfacial Coupling for Acidic Oxygen Evolution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归属</w:t>
      </w:r>
      <w:r>
        <w:rPr>
          <w:rFonts w:ascii="Times New Roman" w:hAnsi="Times New Roman" w:eastAsia="宋体"/>
          <w:b w:val="0"/>
          <w:sz w:val="24"/>
        </w:rPr>
        <w:t>：NUS MSE 本科毕业设计（FYP）；导师 薛军民（Junmin Xue），mentor 禹俊辰（Junchen Yu）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调研日期</w:t>
      </w:r>
      <w:r>
        <w:rPr>
          <w:rFonts w:ascii="Times New Roman" w:hAnsi="Times New Roman" w:eastAsia="宋体"/>
          <w:b w:val="0"/>
          <w:sz w:val="24"/>
        </w:rPr>
        <w:t>：2026-09-18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书写约定</w:t>
      </w:r>
      <w:r>
        <w:rPr>
          <w:rFonts w:ascii="Times New Roman" w:hAnsi="Times New Roman" w:eastAsia="宋体"/>
          <w:b w:val="0"/>
          <w:sz w:val="24"/>
        </w:rPr>
        <w:t>：每条结论附来源链接或 DOI；未能核实者标注「</w:t>
      </w:r>
      <w:r>
        <w:rPr>
          <w:rFonts w:ascii="Times New Roman" w:hAnsi="Times New Roman" w:eastAsia="宋体"/>
          <w:b/>
          <w:sz w:val="24"/>
        </w:rPr>
        <w:t>待确认</w:t>
      </w:r>
      <w:r>
        <w:rPr>
          <w:rFonts w:ascii="Times New Roman" w:hAnsi="Times New Roman" w:eastAsia="宋体"/>
          <w:b w:val="0"/>
          <w:sz w:val="24"/>
        </w:rPr>
        <w:t>」或「</w:t>
      </w:r>
      <w:r>
        <w:rPr>
          <w:rFonts w:ascii="Times New Roman" w:hAnsi="Times New Roman" w:eastAsia="宋体"/>
          <w:b/>
          <w:sz w:val="24"/>
        </w:rPr>
        <w:t>未找到公开资料</w:t>
      </w:r>
      <w:r>
        <w:rPr>
          <w:rFonts w:ascii="Times New Roman" w:hAnsi="Times New Roman" w:eastAsia="宋体"/>
          <w:b w:val="0"/>
          <w:sz w:val="24"/>
        </w:rPr>
        <w:t>」。</w:t>
      </w:r>
      <w:r>
        <w:rPr>
          <w:rFonts w:ascii="Times New Roman" w:hAnsi="Times New Roman" w:eastAsia="宋体"/>
          <w:b/>
          <w:sz w:val="24"/>
        </w:rPr>
        <w:t>所有 DOI 均经 Crossref API 逐条回查</w:t>
      </w:r>
      <w:r>
        <w:rPr>
          <w:rFonts w:ascii="Times New Roman" w:hAnsi="Times New Roman" w:eastAsia="宋体"/>
          <w:b w:val="0"/>
          <w:sz w:val="24"/>
        </w:rPr>
        <w:t>；核验不符者已剔除。</w:t>
      </w:r>
    </w:p>
    <w:p/>
    <w:p>
      <w:pPr>
        <w:spacing w:before="120" w:after="120"/>
        <w:pBdr>
          <w:bottom w:val="single" w:sz="6" w:color="CCCCCC"/>
        </w:pBdr>
      </w:pP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〇、先说结论：本课题最大的技术风险已被文献点名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这一条建议放在 pre 的第一页风险提示里。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2025 年一篇与本课题方法几乎完全相同的工作——</w:t>
      </w:r>
      <w:r>
        <w:rPr>
          <w:rFonts w:ascii="Times New Roman" w:hAnsi="Times New Roman" w:eastAsia="宋体"/>
          <w:b/>
          <w:sz w:val="24"/>
        </w:rPr>
        <w:t>电沉积 MnO₂ 用于酸性 OER</w:t>
      </w:r>
      <w:r>
        <w:rPr>
          <w:rFonts w:ascii="Times New Roman" w:hAnsi="Times New Roman" w:eastAsia="宋体"/>
          <w:b w:val="0"/>
          <w:sz w:val="24"/>
        </w:rPr>
        <w:t>——给出了明确的负面结论：在 pH 1 下，</w:t>
      </w:r>
      <w:r>
        <w:rPr>
          <w:rFonts w:ascii="Times New Roman" w:hAnsi="Times New Roman" w:eastAsia="宋体"/>
          <w:b/>
          <w:sz w:val="24"/>
        </w:rPr>
        <w:t>电沉积 ε-MnO₂ 的稳定电位窗口不足 100 mV（约 1.50–1.55 V vs RHE），而析氧起始电位落在这个窗口之外</w:t>
      </w:r>
      <w:r>
        <w:rPr>
          <w:rFonts w:ascii="Times New Roman" w:hAnsi="Times New Roman" w:eastAsia="宋体"/>
          <w:b w:val="0"/>
          <w:sz w:val="24"/>
        </w:rPr>
        <w:t>；且在</w:t>
      </w:r>
      <w:r>
        <w:rPr>
          <w:rFonts w:ascii="Times New Roman" w:hAnsi="Times New Roman" w:eastAsia="宋体"/>
          <w:b/>
          <w:sz w:val="24"/>
        </w:rPr>
        <w:t>开路电位下即已观测到 MnO₂ 溶解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 xml:space="preserve">来源：Aymerich-Armengol R. 等, </w:t>
      </w:r>
      <w:r>
        <w:rPr>
          <w:rFonts w:ascii="Times New Roman" w:hAnsi="Times New Roman" w:eastAsia="宋体"/>
          <w:b w:val="0"/>
          <w:i/>
          <w:sz w:val="24"/>
        </w:rPr>
        <w:t>Probing the stability window of electrodeposited MnO2 for the acidic oxygen evolution reaction</w:t>
      </w:r>
      <w:r>
        <w:rPr>
          <w:rFonts w:ascii="Times New Roman" w:hAnsi="Times New Roman" w:eastAsia="宋体"/>
          <w:b w:val="0"/>
          <w:sz w:val="24"/>
        </w:rPr>
        <w:t xml:space="preserve">, </w:t>
      </w:r>
      <w:r>
        <w:rPr>
          <w:rFonts w:ascii="Times New Roman" w:hAnsi="Times New Roman" w:eastAsia="宋体"/>
          <w:b/>
          <w:sz w:val="24"/>
        </w:rPr>
        <w:t>ChemRxiv 2025</w:t>
      </w:r>
      <w:r>
        <w:rPr>
          <w:rFonts w:ascii="Times New Roman" w:hAnsi="Times New Roman" w:eastAsia="宋体"/>
          <w:b w:val="0"/>
          <w:sz w:val="24"/>
        </w:rPr>
        <w:t>（预印本）, DOI: 10.26434/chemrxiv-2025-w9lhv｜</w:t>
      </w:r>
      <w:hyperlink r:id="rId10">
        <w:r>
          <w:rPr>
            <w:rFonts w:ascii="Times New Roman" w:hAnsi="Times New Roman" w:eastAsia="宋体"/>
            <w:sz w:val="24"/>
            <w:color w:val="0563C1"/>
            <w:u w:val="single"/>
          </w:rPr>
          <w:t>链接</w:t>
        </w:r>
      </w:hyperlink>
      <w:r>
        <w:rPr>
          <w:rFonts w:ascii="Times New Roman" w:hAnsi="Times New Roman" w:eastAsia="宋体"/>
          <w:b w:val="0"/>
          <w:sz w:val="24"/>
        </w:rPr>
        <w:t>（DTU + 马普钢铁所；方法为原位 ec-LPTEM ＋ 流动池-ICP-MS ＋ 原位产氧测量）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这与热力学计算互相印证：Peng 等指出 </w:t>
      </w:r>
      <w:r>
        <w:rPr>
          <w:rFonts w:ascii="Times New Roman" w:hAnsi="Times New Roman" w:eastAsia="宋体"/>
          <w:b/>
          <w:sz w:val="24"/>
        </w:rPr>
        <w:t>Mn 在酸中的稳定物种随电位切换</w:t>
      </w:r>
      <w:r>
        <w:rPr>
          <w:rFonts w:ascii="Times New Roman" w:hAnsi="Times New Roman" w:eastAsia="宋体"/>
          <w:b w:val="0"/>
          <w:sz w:val="24"/>
        </w:rPr>
        <w:t>——低于约 1.4 V_SHE 为 Mn²⁺，</w:t>
      </w:r>
      <w:r>
        <w:rPr>
          <w:rFonts w:ascii="Times New Roman" w:hAnsi="Times New Roman" w:eastAsia="宋体"/>
          <w:b/>
          <w:sz w:val="24"/>
        </w:rPr>
        <w:t>1.4–1.6 V_SHE 为 MnO₂</w:t>
      </w:r>
      <w:r>
        <w:rPr>
          <w:rFonts w:ascii="Times New Roman" w:hAnsi="Times New Roman" w:eastAsia="宋体"/>
          <w:b w:val="0"/>
          <w:sz w:val="24"/>
        </w:rPr>
        <w:t>，高于约 1.6 V_SHE 转为 MnO₄⁻（</w:t>
      </w:r>
      <w:r>
        <w:rPr>
          <w:rFonts w:ascii="Times New Roman" w:hAnsi="Times New Roman" w:eastAsia="宋体"/>
          <w:b/>
          <w:sz w:val="24"/>
        </w:rPr>
        <w:t>Chem. Mater.</w:t>
      </w:r>
      <w:r>
        <w:rPr>
          <w:rFonts w:ascii="Times New Roman" w:hAnsi="Times New Roman" w:eastAsia="宋体"/>
          <w:b w:val="0"/>
          <w:sz w:val="24"/>
        </w:rPr>
        <w:t xml:space="preserve"> 2022, </w:t>
      </w:r>
      <w:r>
        <w:rPr>
          <w:rFonts w:ascii="Times New Roman" w:hAnsi="Times New Roman" w:eastAsia="宋体"/>
          <w:b/>
          <w:sz w:val="24"/>
        </w:rPr>
        <w:t>34</w:t>
      </w:r>
      <w:r>
        <w:rPr>
          <w:rFonts w:ascii="Times New Roman" w:hAnsi="Times New Roman" w:eastAsia="宋体"/>
          <w:b w:val="0"/>
          <w:sz w:val="24"/>
        </w:rPr>
        <w:t>, 7774–7787, DOI: 10.1021/acs.chemmater.2c01233）。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对本课题的直接含义（推断）</w:t>
      </w:r>
      <w:r>
        <w:rPr>
          <w:rFonts w:ascii="Times New Roman" w:hAnsi="Times New Roman" w:eastAsia="宋体"/>
          <w:b w:val="0"/>
          <w:sz w:val="24"/>
        </w:rPr>
        <w:t>：酸性 OER 电位通常在 1.5–1.8 V vs RHE，恰好压在 MnO₂ 稳定窗口上沿甚至越界。故"用 MnO₂ 稳定 Ru"</w:t>
      </w:r>
      <w:r>
        <w:rPr>
          <w:rFonts w:ascii="Times New Roman" w:hAnsi="Times New Roman" w:eastAsia="宋体"/>
          <w:b/>
          <w:sz w:val="24"/>
        </w:rPr>
        <w:t>必须先回答 MnO₂ 自己能不能活下来</w:t>
      </w:r>
      <w:r>
        <w:rPr>
          <w:rFonts w:ascii="Times New Roman" w:hAnsi="Times New Roman" w:eastAsia="宋体"/>
          <w:b w:val="0"/>
          <w:sz w:val="24"/>
        </w:rPr>
        <w:t xml:space="preserve">。这也解释了为何真正做出酸性 Ru–O–Mn 稳定效果的报道多让 Ru </w:t>
      </w:r>
      <w:r>
        <w:rPr>
          <w:rFonts w:ascii="Times New Roman" w:hAnsi="Times New Roman" w:eastAsia="宋体"/>
          <w:b/>
          <w:sz w:val="24"/>
        </w:rPr>
        <w:t>替位掺杂进 MnO₂ 骨架</w:t>
      </w:r>
      <w:r>
        <w:rPr>
          <w:rFonts w:ascii="Times New Roman" w:hAnsi="Times New Roman" w:eastAsia="宋体"/>
          <w:b w:val="0"/>
          <w:sz w:val="24"/>
        </w:rPr>
        <w:t>（见第四节）——</w:t>
      </w:r>
      <w:r>
        <w:rPr>
          <w:rFonts w:ascii="Times New Roman" w:hAnsi="Times New Roman" w:eastAsia="宋体"/>
          <w:b/>
          <w:sz w:val="24"/>
        </w:rPr>
        <w:t>晶格内的 Mn 比独立 MnO₂ 相更耐酸</w:t>
      </w:r>
      <w:r>
        <w:rPr>
          <w:rFonts w:ascii="Times New Roman" w:hAnsi="Times New Roman" w:eastAsia="宋体"/>
          <w:b w:val="0"/>
          <w:sz w:val="24"/>
        </w:rPr>
        <w:t>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Ru 在酸性 OER 中的失稳机制</w:t>
      </w:r>
    </w:p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1.1 RuO₂ 为何活性高而不稳定？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核心矛盾是 </w:t>
      </w:r>
      <w:r>
        <w:rPr>
          <w:rFonts w:ascii="Times New Roman" w:hAnsi="Times New Roman" w:eastAsia="宋体"/>
          <w:b/>
          <w:sz w:val="24"/>
        </w:rPr>
        <w:t>活性与失稳同源</w:t>
      </w:r>
      <w:r>
        <w:rPr>
          <w:rFonts w:ascii="Times New Roman" w:hAnsi="Times New Roman" w:eastAsia="宋体"/>
          <w:b w:val="0"/>
          <w:sz w:val="24"/>
        </w:rPr>
        <w:t>：驱动高活性的高价 Ru 物种，同时就是溶解的前驱体。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RuO₄ 溶出通道（原始文献）</w:t>
      </w:r>
      <w:r>
        <w:rPr>
          <w:rFonts w:ascii="Times New Roman" w:hAnsi="Times New Roman" w:eastAsia="宋体"/>
          <w:b w:val="0"/>
          <w:sz w:val="24"/>
        </w:rPr>
        <w:t xml:space="preserve">：Kötz 等 1984 年即以原位手段鉴定出 </w:t>
      </w:r>
      <w:r>
        <w:rPr>
          <w:rFonts w:ascii="Times New Roman" w:hAnsi="Times New Roman" w:eastAsia="宋体"/>
          <w:b/>
          <w:sz w:val="24"/>
        </w:rPr>
        <w:t>RuO₄ 是酸性析氧中 Ru 的腐蚀产物</w:t>
      </w:r>
      <w:r>
        <w:rPr>
          <w:rFonts w:ascii="Times New Roman" w:hAnsi="Times New Roman" w:eastAsia="宋体"/>
          <w:b w:val="0"/>
          <w:sz w:val="24"/>
        </w:rPr>
        <w:t>（</w:t>
      </w:r>
      <w:r>
        <w:rPr>
          <w:rFonts w:ascii="Times New Roman" w:hAnsi="Times New Roman" w:eastAsia="宋体"/>
          <w:b/>
          <w:sz w:val="24"/>
        </w:rPr>
        <w:t>J. Electroanal. Chem.</w:t>
      </w:r>
      <w:r>
        <w:rPr>
          <w:rFonts w:ascii="Times New Roman" w:hAnsi="Times New Roman" w:eastAsia="宋体"/>
          <w:b w:val="0"/>
          <w:sz w:val="24"/>
        </w:rPr>
        <w:t xml:space="preserve"> 1984, </w:t>
      </w:r>
      <w:r>
        <w:rPr>
          <w:rFonts w:ascii="Times New Roman" w:hAnsi="Times New Roman" w:eastAsia="宋体"/>
          <w:b/>
          <w:sz w:val="24"/>
        </w:rPr>
        <w:t>172</w:t>
      </w:r>
      <w:r>
        <w:rPr>
          <w:rFonts w:ascii="Times New Roman" w:hAnsi="Times New Roman" w:eastAsia="宋体"/>
          <w:b w:val="0"/>
          <w:sz w:val="24"/>
        </w:rPr>
        <w:t>, 211–219, DOI: 10.1016/0022-0728(84)80187-4）。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热力学驱动力（关键数据）</w:t>
      </w:r>
      <w:r>
        <w:rPr>
          <w:rFonts w:ascii="Times New Roman" w:hAnsi="Times New Roman" w:eastAsia="宋体"/>
          <w:b w:val="0"/>
          <w:sz w:val="24"/>
        </w:rPr>
        <w:t>：Zhang 等的分析指出，</w:t>
      </w:r>
      <w:r>
        <w:rPr>
          <w:rFonts w:ascii="Times New Roman" w:hAnsi="Times New Roman" w:eastAsia="宋体"/>
          <w:b/>
          <w:sz w:val="24"/>
        </w:rPr>
        <w:t>在 OER 电位约 1.5 V 下 RuO₄（Ru⁸⁺）是最稳定相</w:t>
      </w:r>
      <w:r>
        <w:rPr>
          <w:rFonts w:ascii="Times New Roman" w:hAnsi="Times New Roman" w:eastAsia="宋体"/>
          <w:b w:val="0"/>
          <w:sz w:val="24"/>
        </w:rPr>
        <w:t>，故 Ru 溶解在热力学上被强烈驱动（</w:t>
      </w:r>
      <w:r>
        <w:rPr>
          <w:rFonts w:ascii="Times New Roman" w:hAnsi="Times New Roman" w:eastAsia="宋体"/>
          <w:b/>
          <w:sz w:val="24"/>
        </w:rPr>
        <w:t>PCCP</w:t>
      </w:r>
      <w:r>
        <w:rPr>
          <w:rFonts w:ascii="Times New Roman" w:hAnsi="Times New Roman" w:eastAsia="宋体"/>
          <w:b w:val="0"/>
          <w:sz w:val="24"/>
        </w:rPr>
        <w:t xml:space="preserve"> 2026, </w:t>
      </w:r>
      <w:r>
        <w:rPr>
          <w:rFonts w:ascii="Times New Roman" w:hAnsi="Times New Roman" w:eastAsia="宋体"/>
          <w:b/>
          <w:sz w:val="24"/>
        </w:rPr>
        <w:t>28</w:t>
      </w:r>
      <w:r>
        <w:rPr>
          <w:rFonts w:ascii="Times New Roman" w:hAnsi="Times New Roman" w:eastAsia="宋体"/>
          <w:b w:val="0"/>
          <w:sz w:val="24"/>
        </w:rPr>
        <w:t>, 19472–19482, DOI: 10.1039/d6cp00684a）。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RuO₂ vs IrO₂ 的键性本质</w:t>
      </w:r>
      <w:r>
        <w:rPr>
          <w:rFonts w:ascii="Times New Roman" w:hAnsi="Times New Roman" w:eastAsia="宋体"/>
          <w:b w:val="0"/>
          <w:sz w:val="24"/>
        </w:rPr>
        <w:t>：DFT 表明 RuO₂ 的</w:t>
      </w:r>
      <w:r>
        <w:rPr>
          <w:rFonts w:ascii="Times New Roman" w:hAnsi="Times New Roman" w:eastAsia="宋体"/>
          <w:b/>
          <w:sz w:val="24"/>
        </w:rPr>
        <w:t>离子性金属–氧键</w:t>
      </w:r>
      <w:r>
        <w:rPr>
          <w:rFonts w:ascii="Times New Roman" w:hAnsi="Times New Roman" w:eastAsia="宋体"/>
          <w:b w:val="0"/>
          <w:sz w:val="24"/>
        </w:rPr>
        <w:t>带来高活性但加速溶解，IrO₂ 的</w:t>
      </w:r>
      <w:r>
        <w:rPr>
          <w:rFonts w:ascii="Times New Roman" w:hAnsi="Times New Roman" w:eastAsia="宋体"/>
          <w:b/>
          <w:sz w:val="24"/>
        </w:rPr>
        <w:t>共价键</w:t>
      </w:r>
      <w:r>
        <w:rPr>
          <w:rFonts w:ascii="Times New Roman" w:hAnsi="Times New Roman" w:eastAsia="宋体"/>
          <w:b w:val="0"/>
          <w:sz w:val="24"/>
        </w:rPr>
        <w:t>提升稳定性（</w:t>
      </w:r>
      <w:r>
        <w:rPr>
          <w:rFonts w:ascii="Times New Roman" w:hAnsi="Times New Roman" w:eastAsia="宋体"/>
          <w:b/>
          <w:sz w:val="24"/>
        </w:rPr>
        <w:t>PCCP</w:t>
      </w:r>
      <w:r>
        <w:rPr>
          <w:rFonts w:ascii="Times New Roman" w:hAnsi="Times New Roman" w:eastAsia="宋体"/>
          <w:b w:val="0"/>
          <w:sz w:val="24"/>
        </w:rPr>
        <w:t xml:space="preserve"> 2025, </w:t>
      </w:r>
      <w:r>
        <w:rPr>
          <w:rFonts w:ascii="Times New Roman" w:hAnsi="Times New Roman" w:eastAsia="宋体"/>
          <w:b/>
          <w:sz w:val="24"/>
        </w:rPr>
        <w:t>27</w:t>
      </w:r>
      <w:r>
        <w:rPr>
          <w:rFonts w:ascii="Times New Roman" w:hAnsi="Times New Roman" w:eastAsia="宋体"/>
          <w:b w:val="0"/>
          <w:sz w:val="24"/>
        </w:rPr>
        <w:t>, 9369–9378, DOI: 10.1039/d5cp00666j）。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晶格氧机制（LOM）源头</w:t>
      </w:r>
      <w:r>
        <w:rPr>
          <w:rFonts w:ascii="Times New Roman" w:hAnsi="Times New Roman" w:eastAsia="宋体"/>
          <w:b w:val="0"/>
          <w:sz w:val="24"/>
        </w:rPr>
        <w:t>：Grimaud 等确立"晶格氧参与 O–O 耦合"框架，指出晶格氧氧化虽提升本征活性，却生成氧空位并引发</w:t>
      </w:r>
      <w:r>
        <w:rPr>
          <w:rFonts w:ascii="Times New Roman" w:hAnsi="Times New Roman" w:eastAsia="宋体"/>
          <w:b/>
          <w:sz w:val="24"/>
        </w:rPr>
        <w:t>表面重构与阳离子溶解</w:t>
      </w:r>
      <w:r>
        <w:rPr>
          <w:rFonts w:ascii="Times New Roman" w:hAnsi="Times New Roman" w:eastAsia="宋体"/>
          <w:b w:val="0"/>
          <w:sz w:val="24"/>
        </w:rPr>
        <w:t>（</w:t>
      </w:r>
      <w:r>
        <w:rPr>
          <w:rFonts w:ascii="Times New Roman" w:hAnsi="Times New Roman" w:eastAsia="宋体"/>
          <w:b/>
          <w:sz w:val="24"/>
        </w:rPr>
        <w:t>Nat. Chem.</w:t>
      </w:r>
      <w:r>
        <w:rPr>
          <w:rFonts w:ascii="Times New Roman" w:hAnsi="Times New Roman" w:eastAsia="宋体"/>
          <w:b w:val="0"/>
          <w:sz w:val="24"/>
        </w:rPr>
        <w:t xml:space="preserve"> 2017, </w:t>
      </w:r>
      <w:r>
        <w:rPr>
          <w:rFonts w:ascii="Times New Roman" w:hAnsi="Times New Roman" w:eastAsia="宋体"/>
          <w:b/>
          <w:sz w:val="24"/>
        </w:rPr>
        <w:t>9</w:t>
      </w:r>
      <w:r>
        <w:rPr>
          <w:rFonts w:ascii="Times New Roman" w:hAnsi="Times New Roman" w:eastAsia="宋体"/>
          <w:b w:val="0"/>
          <w:sz w:val="24"/>
        </w:rPr>
        <w:t>, 457–465, DOI: 10.1038/nchem.2695）。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连接 LOM 与溶解的关键物种</w:t>
      </w:r>
      <w:r>
        <w:rPr>
          <w:rFonts w:ascii="Times New Roman" w:hAnsi="Times New Roman" w:eastAsia="宋体"/>
          <w:b w:val="0"/>
          <w:sz w:val="24"/>
        </w:rPr>
        <w:t xml:space="preserve">：Yao 等指出高价氧空位中间体 </w:t>
      </w:r>
      <w:r>
        <w:rPr>
          <w:rFonts w:ascii="Times New Roman" w:hAnsi="Times New Roman" w:eastAsia="宋体"/>
          <w:b/>
          <w:sz w:val="24"/>
        </w:rPr>
        <w:t>Vo-RuO₄²⁻ 会加速 Ru 溶解</w:t>
      </w:r>
      <w:r>
        <w:rPr>
          <w:rFonts w:ascii="Times New Roman" w:hAnsi="Times New Roman" w:eastAsia="宋体"/>
          <w:b w:val="0"/>
          <w:sz w:val="24"/>
        </w:rPr>
        <w:t>，是稳定化设计（调控其氧化态）的直接靶点（</w:t>
      </w:r>
      <w:r>
        <w:rPr>
          <w:rFonts w:ascii="Times New Roman" w:hAnsi="Times New Roman" w:eastAsia="宋体"/>
          <w:b/>
          <w:sz w:val="24"/>
        </w:rPr>
        <w:t>Chem</w:t>
      </w:r>
      <w:r>
        <w:rPr>
          <w:rFonts w:ascii="Times New Roman" w:hAnsi="Times New Roman" w:eastAsia="宋体"/>
          <w:b w:val="0"/>
          <w:sz w:val="24"/>
        </w:rPr>
        <w:t xml:space="preserve"> 2023, </w:t>
      </w:r>
      <w:r>
        <w:rPr>
          <w:rFonts w:ascii="Times New Roman" w:hAnsi="Times New Roman" w:eastAsia="宋体"/>
          <w:b/>
          <w:sz w:val="24"/>
        </w:rPr>
        <w:t>9</w:t>
      </w:r>
      <w:r>
        <w:rPr>
          <w:rFonts w:ascii="Times New Roman" w:hAnsi="Times New Roman" w:eastAsia="宋体"/>
          <w:b w:val="0"/>
          <w:sz w:val="24"/>
        </w:rPr>
        <w:t>, 1882–1896, DOI: 10.1016/j.chempr.2023.03.005）。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抑制晶格氧参与即稳定</w:t>
      </w:r>
      <w:r>
        <w:rPr>
          <w:rFonts w:ascii="Times New Roman" w:hAnsi="Times New Roman" w:eastAsia="宋体"/>
          <w:b w:val="0"/>
          <w:sz w:val="24"/>
        </w:rPr>
        <w:t>：Wen 等证明</w:t>
      </w:r>
      <w:r>
        <w:rPr>
          <w:rFonts w:ascii="Times New Roman" w:hAnsi="Times New Roman" w:eastAsia="宋体"/>
          <w:b/>
          <w:sz w:val="24"/>
        </w:rPr>
        <w:t>抑制晶格氧参与可显著稳定高活性 Ru 位点</w:t>
      </w:r>
      <w:r>
        <w:rPr>
          <w:rFonts w:ascii="Times New Roman" w:hAnsi="Times New Roman" w:eastAsia="宋体"/>
          <w:b w:val="0"/>
          <w:sz w:val="24"/>
        </w:rPr>
        <w:t>（</w:t>
      </w:r>
      <w:r>
        <w:rPr>
          <w:rFonts w:ascii="Times New Roman" w:hAnsi="Times New Roman" w:eastAsia="宋体"/>
          <w:b/>
          <w:sz w:val="24"/>
        </w:rPr>
        <w:t>JACS</w:t>
      </w:r>
      <w:r>
        <w:rPr>
          <w:rFonts w:ascii="Times New Roman" w:hAnsi="Times New Roman" w:eastAsia="宋体"/>
          <w:b w:val="0"/>
          <w:sz w:val="24"/>
        </w:rPr>
        <w:t xml:space="preserve"> 2021, </w:t>
      </w:r>
      <w:r>
        <w:rPr>
          <w:rFonts w:ascii="Times New Roman" w:hAnsi="Times New Roman" w:eastAsia="宋体"/>
          <w:b/>
          <w:sz w:val="24"/>
        </w:rPr>
        <w:t>143</w:t>
      </w:r>
      <w:r>
        <w:rPr>
          <w:rFonts w:ascii="Times New Roman" w:hAnsi="Times New Roman" w:eastAsia="宋体"/>
          <w:b w:val="0"/>
          <w:sz w:val="24"/>
        </w:rPr>
        <w:t>, 6482–6490, DOI: 10.1021/jacs.1c00384）。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定量基线与标准指标</w:t>
      </w:r>
      <w:r>
        <w:rPr>
          <w:rFonts w:ascii="Times New Roman" w:hAnsi="Times New Roman" w:eastAsia="宋体"/>
          <w:b w:val="0"/>
          <w:sz w:val="24"/>
        </w:rPr>
        <w:t xml:space="preserve">：Cherevko 等比较 Ru、RuO₂、Ir、IrO₂ 薄膜电极，发现 </w:t>
      </w:r>
      <w:r>
        <w:rPr>
          <w:rFonts w:ascii="Times New Roman" w:hAnsi="Times New Roman" w:eastAsia="宋体"/>
          <w:b/>
          <w:sz w:val="24"/>
        </w:rPr>
        <w:t>OER 活性顺序与溶解量顺序几乎完全相反</w:t>
      </w:r>
      <w:r>
        <w:rPr>
          <w:rFonts w:ascii="Times New Roman" w:hAnsi="Times New Roman" w:eastAsia="宋体"/>
          <w:b w:val="0"/>
          <w:sz w:val="24"/>
        </w:rPr>
        <w:t>（</w:t>
      </w:r>
      <w:r>
        <w:rPr>
          <w:rFonts w:ascii="Times New Roman" w:hAnsi="Times New Roman" w:eastAsia="宋体"/>
          <w:b/>
          <w:sz w:val="24"/>
        </w:rPr>
        <w:t>Catal. Today</w:t>
      </w:r>
      <w:r>
        <w:rPr>
          <w:rFonts w:ascii="Times New Roman" w:hAnsi="Times New Roman" w:eastAsia="宋体"/>
          <w:b w:val="0"/>
          <w:sz w:val="24"/>
        </w:rPr>
        <w:t xml:space="preserve"> 2016, </w:t>
      </w:r>
      <w:r>
        <w:rPr>
          <w:rFonts w:ascii="Times New Roman" w:hAnsi="Times New Roman" w:eastAsia="宋体"/>
          <w:b/>
          <w:sz w:val="24"/>
        </w:rPr>
        <w:t>262</w:t>
      </w:r>
      <w:r>
        <w:rPr>
          <w:rFonts w:ascii="Times New Roman" w:hAnsi="Times New Roman" w:eastAsia="宋体"/>
          <w:b w:val="0"/>
          <w:sz w:val="24"/>
        </w:rPr>
        <w:t xml:space="preserve">, 170–180）；Geiger 等提出 </w:t>
      </w:r>
      <w:r>
        <w:rPr>
          <w:rFonts w:ascii="Times New Roman" w:hAnsi="Times New Roman" w:eastAsia="宋体"/>
          <w:b/>
          <w:sz w:val="24"/>
        </w:rPr>
        <w:t>S-number（产生 O₂ 摩尔数/溶解金属摩尔数）</w:t>
      </w:r>
      <w:r>
        <w:rPr>
          <w:rFonts w:ascii="Times New Roman" w:hAnsi="Times New Roman" w:eastAsia="宋体"/>
          <w:b w:val="0"/>
          <w:sz w:val="24"/>
        </w:rPr>
        <w:t>作为归一化稳定性指标（</w:t>
      </w:r>
      <w:r>
        <w:rPr>
          <w:rFonts w:ascii="Times New Roman" w:hAnsi="Times New Roman" w:eastAsia="宋体"/>
          <w:b/>
          <w:sz w:val="24"/>
        </w:rPr>
        <w:t>Nat. Catal.</w:t>
      </w:r>
      <w:r>
        <w:rPr>
          <w:rFonts w:ascii="Times New Roman" w:hAnsi="Times New Roman" w:eastAsia="宋体"/>
          <w:b w:val="0"/>
          <w:sz w:val="24"/>
        </w:rPr>
        <w:t xml:space="preserve"> 2018, </w:t>
      </w:r>
      <w:r>
        <w:rPr>
          <w:rFonts w:ascii="Times New Roman" w:hAnsi="Times New Roman" w:eastAsia="宋体"/>
          <w:b/>
          <w:sz w:val="24"/>
        </w:rPr>
        <w:t>1</w:t>
      </w:r>
      <w:r>
        <w:rPr>
          <w:rFonts w:ascii="Times New Roman" w:hAnsi="Times New Roman" w:eastAsia="宋体"/>
          <w:b w:val="0"/>
          <w:sz w:val="24"/>
        </w:rPr>
        <w:t>, 508–515, DOI: 10.1038/s41929-018-0085-6）。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机制仍存争议（应注意）</w:t>
      </w:r>
      <w:r>
        <w:rPr>
          <w:rFonts w:ascii="Times New Roman" w:hAnsi="Times New Roman" w:eastAsia="宋体"/>
          <w:b w:val="0"/>
          <w:sz w:val="24"/>
        </w:rPr>
        <w:t>：Tang 等重新审视失活归因，认为 Ru 溶解未必是 RuO₂ 失活主因（</w:t>
      </w:r>
      <w:r>
        <w:rPr>
          <w:rFonts w:ascii="Times New Roman" w:hAnsi="Times New Roman" w:eastAsia="宋体"/>
          <w:b/>
          <w:sz w:val="24"/>
        </w:rPr>
        <w:t>Mater. Today Energy</w:t>
      </w:r>
      <w:r>
        <w:rPr>
          <w:rFonts w:ascii="Times New Roman" w:hAnsi="Times New Roman" w:eastAsia="宋体"/>
          <w:b w:val="0"/>
          <w:sz w:val="24"/>
        </w:rPr>
        <w:t xml:space="preserve"> 2024, </w:t>
      </w:r>
      <w:r>
        <w:rPr>
          <w:rFonts w:ascii="Times New Roman" w:hAnsi="Times New Roman" w:eastAsia="宋体"/>
          <w:b/>
          <w:sz w:val="24"/>
        </w:rPr>
        <w:t>43</w:t>
      </w:r>
      <w:r>
        <w:rPr>
          <w:rFonts w:ascii="Times New Roman" w:hAnsi="Times New Roman" w:eastAsia="宋体"/>
          <w:b w:val="0"/>
          <w:sz w:val="24"/>
        </w:rPr>
        <w:t>, 101603）。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1.2 电位依赖性（要点）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Ru 溶解并非单调随电位上升，而是</w:t>
      </w:r>
      <w:r>
        <w:rPr>
          <w:rFonts w:ascii="Times New Roman" w:hAnsi="Times New Roman" w:eastAsia="宋体"/>
          <w:b/>
          <w:sz w:val="24"/>
        </w:rPr>
        <w:t>在 RuO₂/RuO₄ 转变区显著加剧</w:t>
      </w:r>
      <w:r>
        <w:rPr>
          <w:rFonts w:ascii="Times New Roman" w:hAnsi="Times New Roman" w:eastAsia="宋体"/>
          <w:b w:val="0"/>
          <w:sz w:val="24"/>
        </w:rPr>
        <w:t>（</w:t>
      </w:r>
      <w:r>
        <w:rPr>
          <w:rFonts w:ascii="Times New Roman" w:hAnsi="Times New Roman" w:eastAsia="宋体"/>
          <w:b/>
          <w:sz w:val="24"/>
        </w:rPr>
        <w:t>推断</w:t>
      </w:r>
      <w:r>
        <w:rPr>
          <w:rFonts w:ascii="Times New Roman" w:hAnsi="Times New Roman" w:eastAsia="宋体"/>
          <w:b w:val="0"/>
          <w:sz w:val="24"/>
        </w:rPr>
        <w:t>）：高电位使 Ru 越过稳定价态生成可溶/可挥发的 RuO₄ 或 RuO₄²⁻。故"</w:t>
      </w:r>
      <w:r>
        <w:rPr>
          <w:rFonts w:ascii="Times New Roman" w:hAnsi="Times New Roman" w:eastAsia="宋体"/>
          <w:b/>
          <w:sz w:val="24"/>
        </w:rPr>
        <w:t>让 Ru 工作在更低过电位</w:t>
      </w:r>
      <w:r>
        <w:rPr>
          <w:rFonts w:ascii="Times New Roman" w:hAnsi="Times New Roman" w:eastAsia="宋体"/>
          <w:b w:val="0"/>
          <w:sz w:val="24"/>
        </w:rPr>
        <w:t xml:space="preserve">"本身即稳定化策略——与 Science 2025（P6）"高过电位迫使活性位在更高电位工作，反而加剧过氧化"的反向推论一致（电位/pH 依赖溶解的直接测量见 </w:t>
      </w:r>
      <w:r>
        <w:rPr>
          <w:rFonts w:ascii="Times New Roman" w:hAnsi="Times New Roman" w:eastAsia="宋体"/>
          <w:b/>
          <w:sz w:val="24"/>
        </w:rPr>
        <w:t>ChemElectroChem</w:t>
      </w:r>
      <w:r>
        <w:rPr>
          <w:rFonts w:ascii="Times New Roman" w:hAnsi="Times New Roman" w:eastAsia="宋体"/>
          <w:b w:val="0"/>
          <w:sz w:val="24"/>
        </w:rPr>
        <w:t xml:space="preserve"> 2025, </w:t>
      </w:r>
      <w:r>
        <w:rPr>
          <w:rFonts w:ascii="Times New Roman" w:hAnsi="Times New Roman" w:eastAsia="宋体"/>
          <w:b/>
          <w:sz w:val="24"/>
        </w:rPr>
        <w:t>12</w:t>
      </w:r>
      <w:r>
        <w:rPr>
          <w:rFonts w:ascii="Times New Roman" w:hAnsi="Times New Roman" w:eastAsia="宋体"/>
          <w:b w:val="0"/>
          <w:sz w:val="24"/>
        </w:rPr>
        <w:t>, e202400651）。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稳定 Ru 的主流策略（代表工作）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以下 DOI 均已核验。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2.1 掺杂（doping / 替位取代）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</w:tblGrid>
      <w:tr>
        <w:tc>
          <w:tcPr>
            <w:tcW w:type="dxa" w:w="866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掺杂元素</w:t>
            </w:r>
          </w:p>
        </w:tc>
        <w:tc>
          <w:tcPr>
            <w:tcW w:type="dxa" w:w="3518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出处与 DOI</w:t>
            </w:r>
          </w:p>
        </w:tc>
        <w:tc>
          <w:tcPr>
            <w:tcW w:type="dxa" w:w="4079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关键数据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Ta</w:t>
            </w:r>
            <w:r>
              <w:rPr>
                <w:rFonts w:ascii="Times New Roman" w:hAnsi="Times New Roman" w:eastAsia="宋体"/>
                <w:b w:val="0"/>
                <w:sz w:val="24"/>
              </w:rPr>
              <w:t>（里程碑）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Science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2025, </w:t>
            </w:r>
            <w:r>
              <w:rPr>
                <w:rFonts w:ascii="Times New Roman" w:hAnsi="Times New Roman" w:eastAsia="宋体"/>
                <w:b/>
                <w:sz w:val="24"/>
              </w:rPr>
              <w:t>387</w:t>
            </w:r>
            <w:r>
              <w:rPr>
                <w:rFonts w:ascii="Times New Roman" w:hAnsi="Times New Roman" w:eastAsia="宋体"/>
                <w:b w:val="0"/>
                <w:sz w:val="24"/>
              </w:rPr>
              <w:t>, 48–55, DOI: 10.1126/science.ado9938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工业级 </w:t>
            </w:r>
            <w:r>
              <w:rPr>
                <w:rFonts w:ascii="Times New Roman" w:hAnsi="Times New Roman" w:eastAsia="宋体"/>
                <w:b/>
                <w:sz w:val="24"/>
              </w:rPr>
              <w:t>2800 h 衰减约 14 μV/h</w:t>
            </w:r>
            <w:r>
              <w:rPr>
                <w:rFonts w:ascii="Times New Roman" w:hAnsi="Times New Roman" w:eastAsia="宋体"/>
                <w:b w:val="0"/>
                <w:sz w:val="24"/>
              </w:rPr>
              <w:t>；1 A cm⁻² 下过电位比 IrO₂ 低 330 mV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Cr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Nat. Commun.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2024, </w:t>
            </w:r>
            <w:r>
              <w:rPr>
                <w:rFonts w:ascii="Times New Roman" w:hAnsi="Times New Roman" w:eastAsia="宋体"/>
                <w:b/>
                <w:sz w:val="24"/>
              </w:rPr>
              <w:t>15</w:t>
            </w:r>
            <w:r>
              <w:rPr>
                <w:rFonts w:ascii="Times New Roman" w:hAnsi="Times New Roman" w:eastAsia="宋体"/>
                <w:b w:val="0"/>
                <w:sz w:val="24"/>
              </w:rPr>
              <w:t>, DOI: 10.1038/s41467-024-51871-z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η = </w:t>
            </w:r>
            <w:r>
              <w:rPr>
                <w:rFonts w:ascii="Times New Roman" w:hAnsi="Times New Roman" w:eastAsia="宋体"/>
                <w:b/>
                <w:sz w:val="24"/>
              </w:rPr>
              <w:t>170 ± 6 mV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@10 mA cm⁻²；</w:t>
            </w:r>
            <w:r>
              <w:rPr>
                <w:rFonts w:ascii="Times New Roman" w:hAnsi="Times New Roman" w:eastAsia="宋体"/>
                <w:b/>
                <w:sz w:val="24"/>
              </w:rPr>
              <w:t>稳定超 2000 h</w:t>
            </w:r>
            <w:r>
              <w:rPr>
                <w:rFonts w:ascii="Times New Roman" w:hAnsi="Times New Roman" w:eastAsia="宋体"/>
                <w:b w:val="0"/>
                <w:sz w:val="24"/>
              </w:rPr>
              <w:t>；³⁴O₂/³²O₂ 仅约 0.4%，走 AEM 而非 LOM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Si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Nat. Commun.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2024, </w:t>
            </w:r>
            <w:r>
              <w:rPr>
                <w:rFonts w:ascii="Times New Roman" w:hAnsi="Times New Roman" w:eastAsia="宋体"/>
                <w:b/>
                <w:sz w:val="24"/>
              </w:rPr>
              <w:t>15</w:t>
            </w:r>
            <w:r>
              <w:rPr>
                <w:rFonts w:ascii="Times New Roman" w:hAnsi="Times New Roman" w:eastAsia="宋体"/>
                <w:b w:val="0"/>
                <w:sz w:val="24"/>
              </w:rPr>
              <w:t>, DOI: 10.1038/s41467-024-46815-6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800 h 衰减约 52 μV/h；晶格氧参与被抑制约 95%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Zn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Nat. Commun.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2023, </w:t>
            </w:r>
            <w:r>
              <w:rPr>
                <w:rFonts w:ascii="Times New Roman" w:hAnsi="Times New Roman" w:eastAsia="宋体"/>
                <w:b/>
                <w:sz w:val="24"/>
              </w:rPr>
              <w:t>14</w:t>
            </w:r>
            <w:r>
              <w:rPr>
                <w:rFonts w:ascii="Times New Roman" w:hAnsi="Times New Roman" w:eastAsia="宋体"/>
                <w:b w:val="0"/>
                <w:sz w:val="24"/>
              </w:rPr>
              <w:t>, DOI: 10.1038/s41467-023-38213-1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η = 173 / 304 / 373 mV @10 / 500 / 1000 mA cm⁻²；</w:t>
            </w:r>
            <w:r>
              <w:rPr>
                <w:rFonts w:ascii="Times New Roman" w:hAnsi="Times New Roman" w:eastAsia="宋体"/>
                <w:b/>
                <w:sz w:val="24"/>
              </w:rPr>
              <w:t>10 mA cm⁻² 稳定 1000 h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Mn</w:t>
            </w:r>
            <w:r>
              <w:rPr>
                <w:rFonts w:ascii="Times New Roman" w:hAnsi="Times New Roman" w:eastAsia="宋体"/>
                <w:b w:val="0"/>
                <w:sz w:val="24"/>
              </w:rPr>
              <w:t>（早期代表）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ACS Catal.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2020, </w:t>
            </w:r>
            <w:r>
              <w:rPr>
                <w:rFonts w:ascii="Times New Roman" w:hAnsi="Times New Roman" w:eastAsia="宋体"/>
                <w:b/>
                <w:sz w:val="24"/>
              </w:rPr>
              <w:t>10</w:t>
            </w:r>
            <w:r>
              <w:rPr>
                <w:rFonts w:ascii="Times New Roman" w:hAnsi="Times New Roman" w:eastAsia="宋体"/>
                <w:b w:val="0"/>
                <w:sz w:val="24"/>
              </w:rPr>
              <w:t>, 1152–1160, DOI: 10.1021/acscatal.9b04922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Mn-RuO₂ 纳米晶酸性 OER </w:t>
            </w:r>
            <w:r>
              <w:rPr>
                <w:rFonts w:ascii="Times New Roman" w:hAnsi="Times New Roman" w:eastAsia="宋体"/>
                <w:b/>
                <w:sz w:val="24"/>
              </w:rPr>
              <w:t>η = 158 mV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Nb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Joule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2023, </w:t>
            </w:r>
            <w:r>
              <w:rPr>
                <w:rFonts w:ascii="Times New Roman" w:hAnsi="Times New Roman" w:eastAsia="宋体"/>
                <w:b/>
                <w:sz w:val="24"/>
              </w:rPr>
              <w:t>7</w:t>
            </w:r>
            <w:r>
              <w:rPr>
                <w:rFonts w:ascii="Times New Roman" w:hAnsi="Times New Roman" w:eastAsia="宋体"/>
                <w:b w:val="0"/>
                <w:sz w:val="24"/>
              </w:rPr>
              <w:t>, 558–573, DOI: 10.1016/j.joule.2023.02.012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η = 204 mV；200 mA cm⁻² 下 360 h 衰减 25 μV/h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Co + TiO₂ 载体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JACS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2025, </w:t>
            </w:r>
            <w:r>
              <w:rPr>
                <w:rFonts w:ascii="Times New Roman" w:hAnsi="Times New Roman" w:eastAsia="宋体"/>
                <w:b/>
                <w:sz w:val="24"/>
              </w:rPr>
              <w:t>147</w:t>
            </w:r>
            <w:r>
              <w:rPr>
                <w:rFonts w:ascii="Times New Roman" w:hAnsi="Times New Roman" w:eastAsia="宋体"/>
                <w:b w:val="0"/>
                <w:sz w:val="24"/>
              </w:rPr>
              <w:t>, 39781–39795, DOI: 10.1021/jacs.5c14137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 A cm⁻² 下 η = 322 mV；PEMWE 中 500 mA cm⁻² 稳定超 1000 h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高熵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Nat. Commun.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2025, </w:t>
            </w:r>
            <w:r>
              <w:rPr>
                <w:rFonts w:ascii="Times New Roman" w:hAnsi="Times New Roman" w:eastAsia="宋体"/>
                <w:b/>
                <w:sz w:val="24"/>
              </w:rPr>
              <w:t>16</w:t>
            </w:r>
            <w:r>
              <w:rPr>
                <w:rFonts w:ascii="Times New Roman" w:hAnsi="Times New Roman" w:eastAsia="宋体"/>
                <w:b w:val="0"/>
                <w:sz w:val="24"/>
              </w:rPr>
              <w:t>, DOI: 10.1038/s41467-025-61763-5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100 mA cm⁻² </w:t>
            </w:r>
            <w:r>
              <w:rPr>
                <w:rFonts w:ascii="Times New Roman" w:hAnsi="Times New Roman" w:eastAsia="宋体"/>
                <w:b/>
                <w:sz w:val="24"/>
              </w:rPr>
              <w:t>稳定 1500 h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无明显衰减</w:t>
            </w:r>
          </w:p>
        </w:tc>
      </w:tr>
    </w:tbl>
    <w:p/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2.2 异质结构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Ru⁴⁺–O–Ru⁰ 金属–氧化物界面</w:t>
      </w:r>
      <w:r>
        <w:rPr>
          <w:rFonts w:ascii="Times New Roman" w:hAnsi="Times New Roman" w:eastAsia="宋体"/>
          <w:b w:val="0"/>
          <w:sz w:val="24"/>
        </w:rPr>
        <w:t>：金属 Ru 作电子供体降低可溶中间体 Vo-RuO₄²⁻ 的氧化态，界面氧位点同时加速去质子化（</w:t>
      </w:r>
      <w:r>
        <w:rPr>
          <w:rFonts w:ascii="Times New Roman" w:hAnsi="Times New Roman" w:eastAsia="宋体"/>
          <w:b/>
          <w:sz w:val="24"/>
        </w:rPr>
        <w:t>Angew. Chem. Int. Ed.</w:t>
      </w:r>
      <w:r>
        <w:rPr>
          <w:rFonts w:ascii="Times New Roman" w:hAnsi="Times New Roman" w:eastAsia="宋体"/>
          <w:b w:val="0"/>
          <w:sz w:val="24"/>
        </w:rPr>
        <w:t xml:space="preserve"> 2025, </w:t>
      </w:r>
      <w:r>
        <w:rPr>
          <w:rFonts w:ascii="Times New Roman" w:hAnsi="Times New Roman" w:eastAsia="宋体"/>
          <w:b/>
          <w:sz w:val="24"/>
        </w:rPr>
        <w:t>64</w:t>
      </w:r>
      <w:r>
        <w:rPr>
          <w:rFonts w:ascii="Times New Roman" w:hAnsi="Times New Roman" w:eastAsia="宋体"/>
          <w:b w:val="0"/>
          <w:sz w:val="24"/>
        </w:rPr>
        <w:t>, e202503733）。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RuO₂/WO₃ 反蛋白石</w:t>
      </w:r>
      <w:r>
        <w:rPr>
          <w:rFonts w:ascii="Times New Roman" w:hAnsi="Times New Roman" w:eastAsia="宋体"/>
          <w:b w:val="0"/>
          <w:sz w:val="24"/>
        </w:rPr>
        <w:t>：界面耦合使路径由 LOM 切换为 AEM；η = 180 mV，稳定 100 h（</w:t>
      </w:r>
      <w:r>
        <w:rPr>
          <w:rFonts w:ascii="Times New Roman" w:hAnsi="Times New Roman" w:eastAsia="宋体"/>
          <w:b/>
          <w:sz w:val="24"/>
        </w:rPr>
        <w:t>Nano Res. Energy</w:t>
      </w:r>
      <w:r>
        <w:rPr>
          <w:rFonts w:ascii="Times New Roman" w:hAnsi="Times New Roman" w:eastAsia="宋体"/>
          <w:b w:val="0"/>
          <w:sz w:val="24"/>
        </w:rPr>
        <w:t xml:space="preserve"> 2025, </w:t>
      </w:r>
      <w:r>
        <w:rPr>
          <w:rFonts w:ascii="Times New Roman" w:hAnsi="Times New Roman" w:eastAsia="宋体"/>
          <w:b/>
          <w:sz w:val="24"/>
        </w:rPr>
        <w:t>4</w:t>
      </w:r>
      <w:r>
        <w:rPr>
          <w:rFonts w:ascii="Times New Roman" w:hAnsi="Times New Roman" w:eastAsia="宋体"/>
          <w:b w:val="0"/>
          <w:sz w:val="24"/>
        </w:rPr>
        <w:t>, e9120141）。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 xml:space="preserve">另有 </w:t>
      </w:r>
      <w:r>
        <w:rPr>
          <w:rFonts w:ascii="Times New Roman" w:hAnsi="Times New Roman" w:eastAsia="宋体"/>
          <w:b/>
          <w:sz w:val="24"/>
        </w:rPr>
        <w:t>Ru/RuO₂–Co₃O₄ 富氧空位异质结</w:t>
      </w:r>
      <w:r>
        <w:rPr>
          <w:rFonts w:ascii="Times New Roman" w:hAnsi="Times New Roman" w:eastAsia="宋体"/>
          <w:b w:val="0"/>
          <w:sz w:val="24"/>
        </w:rPr>
        <w:t>（</w:t>
      </w:r>
      <w:r>
        <w:rPr>
          <w:rFonts w:ascii="Times New Roman" w:hAnsi="Times New Roman" w:eastAsia="宋体"/>
          <w:b/>
          <w:sz w:val="24"/>
        </w:rPr>
        <w:t>ACS Sustain. Chem. Eng.</w:t>
      </w:r>
      <w:r>
        <w:rPr>
          <w:rFonts w:ascii="Times New Roman" w:hAnsi="Times New Roman" w:eastAsia="宋体"/>
          <w:b w:val="0"/>
          <w:sz w:val="24"/>
        </w:rPr>
        <w:t xml:space="preserve"> 2023, </w:t>
      </w:r>
      <w:r>
        <w:rPr>
          <w:rFonts w:ascii="Times New Roman" w:hAnsi="Times New Roman" w:eastAsia="宋体"/>
          <w:b/>
          <w:sz w:val="24"/>
        </w:rPr>
        <w:t>11</w:t>
      </w:r>
      <w:r>
        <w:rPr>
          <w:rFonts w:ascii="Times New Roman" w:hAnsi="Times New Roman" w:eastAsia="宋体"/>
          <w:b w:val="0"/>
          <w:sz w:val="24"/>
        </w:rPr>
        <w:t>, 5155–5163）与</w:t>
      </w:r>
      <w:r>
        <w:rPr>
          <w:rFonts w:ascii="Times New Roman" w:hAnsi="Times New Roman" w:eastAsia="宋体"/>
          <w:b/>
          <w:sz w:val="24"/>
        </w:rPr>
        <w:t>二维 Ru–Ir 氧化物</w:t>
      </w:r>
      <w:r>
        <w:rPr>
          <w:rFonts w:ascii="Times New Roman" w:hAnsi="Times New Roman" w:eastAsia="宋体"/>
          <w:b w:val="0"/>
          <w:sz w:val="24"/>
        </w:rPr>
        <w:t>（</w:t>
      </w:r>
      <w:r>
        <w:rPr>
          <w:rFonts w:ascii="Times New Roman" w:hAnsi="Times New Roman" w:eastAsia="宋体"/>
          <w:b/>
          <w:sz w:val="24"/>
        </w:rPr>
        <w:t>Nat. Commun.</w:t>
      </w:r>
      <w:r>
        <w:rPr>
          <w:rFonts w:ascii="Times New Roman" w:hAnsi="Times New Roman" w:eastAsia="宋体"/>
          <w:b w:val="0"/>
          <w:sz w:val="24"/>
        </w:rPr>
        <w:t xml:space="preserve"> 2023, </w:t>
      </w:r>
      <w:r>
        <w:rPr>
          <w:rFonts w:ascii="Times New Roman" w:hAnsi="Times New Roman" w:eastAsia="宋体"/>
          <w:b/>
          <w:sz w:val="24"/>
        </w:rPr>
        <w:t>14</w:t>
      </w:r>
      <w:r>
        <w:rPr>
          <w:rFonts w:ascii="Times New Roman" w:hAnsi="Times New Roman" w:eastAsia="宋体"/>
          <w:b w:val="0"/>
          <w:sz w:val="24"/>
        </w:rPr>
        <w:t>, DOI: 10.1038/s41467-023-41036-9）。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2.3 载体锚定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MnO₂ 隧道尺寸调控 Ru–载体相互作用</w:t>
      </w:r>
      <w:r>
        <w:rPr>
          <w:rFonts w:ascii="Times New Roman" w:hAnsi="Times New Roman" w:eastAsia="宋体"/>
          <w:b w:val="0"/>
          <w:sz w:val="24"/>
        </w:rPr>
        <w:t>（</w:t>
      </w:r>
      <w:r>
        <w:rPr>
          <w:rFonts w:ascii="Times New Roman" w:hAnsi="Times New Roman" w:eastAsia="宋体"/>
          <w:b/>
          <w:sz w:val="24"/>
        </w:rPr>
        <w:t>JACS</w:t>
      </w:r>
      <w:r>
        <w:rPr>
          <w:rFonts w:ascii="Times New Roman" w:hAnsi="Times New Roman" w:eastAsia="宋体"/>
          <w:b w:val="0"/>
          <w:sz w:val="24"/>
        </w:rPr>
        <w:t xml:space="preserve"> 2025, </w:t>
      </w:r>
      <w:r>
        <w:rPr>
          <w:rFonts w:ascii="Times New Roman" w:hAnsi="Times New Roman" w:eastAsia="宋体"/>
          <w:b/>
          <w:sz w:val="24"/>
        </w:rPr>
        <w:t>147</w:t>
      </w:r>
      <w:r>
        <w:rPr>
          <w:rFonts w:ascii="Times New Roman" w:hAnsi="Times New Roman" w:eastAsia="宋体"/>
          <w:b w:val="0"/>
          <w:sz w:val="24"/>
        </w:rPr>
        <w:t>, 24392–24402）——</w:t>
      </w:r>
      <w:r>
        <w:rPr>
          <w:rFonts w:ascii="Times New Roman" w:hAnsi="Times New Roman" w:eastAsia="宋体"/>
          <w:b/>
          <w:sz w:val="24"/>
        </w:rPr>
        <w:t>MnO₂ 晶型/隧道结构是调控 Ru 电子态的可调旋钮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碳载体供电子稳定超小 RuO₂</w:t>
      </w:r>
      <w:r>
        <w:rPr>
          <w:rFonts w:ascii="Times New Roman" w:hAnsi="Times New Roman" w:eastAsia="宋体"/>
          <w:b w:val="0"/>
          <w:sz w:val="24"/>
        </w:rPr>
        <w:t>（</w:t>
      </w:r>
      <w:r>
        <w:rPr>
          <w:rFonts w:ascii="Times New Roman" w:hAnsi="Times New Roman" w:eastAsia="宋体"/>
          <w:b/>
          <w:sz w:val="24"/>
        </w:rPr>
        <w:t>J. Colloid Interface Sci.</w:t>
      </w:r>
      <w:r>
        <w:rPr>
          <w:rFonts w:ascii="Times New Roman" w:hAnsi="Times New Roman" w:eastAsia="宋体"/>
          <w:b w:val="0"/>
          <w:sz w:val="24"/>
        </w:rPr>
        <w:t xml:space="preserve"> 2025, </w:t>
      </w:r>
      <w:r>
        <w:rPr>
          <w:rFonts w:ascii="Times New Roman" w:hAnsi="Times New Roman" w:eastAsia="宋体"/>
          <w:b/>
          <w:sz w:val="24"/>
        </w:rPr>
        <w:t>686</w:t>
      </w:r>
      <w:r>
        <w:rPr>
          <w:rFonts w:ascii="Times New Roman" w:hAnsi="Times New Roman" w:eastAsia="宋体"/>
          <w:b w:val="0"/>
          <w:sz w:val="24"/>
        </w:rPr>
        <w:t>, 438–447）；</w:t>
      </w:r>
      <w:r>
        <w:rPr>
          <w:rFonts w:ascii="Times New Roman" w:hAnsi="Times New Roman" w:eastAsia="宋体"/>
          <w:b/>
          <w:sz w:val="24"/>
        </w:rPr>
        <w:t>O 溢流至 MoO₃ 抑制 RuO₂ 过氧化</w:t>
      </w:r>
      <w:r>
        <w:rPr>
          <w:rFonts w:ascii="Times New Roman" w:hAnsi="Times New Roman" w:eastAsia="宋体"/>
          <w:b w:val="0"/>
          <w:sz w:val="24"/>
        </w:rPr>
        <w:t>（</w:t>
      </w:r>
      <w:r>
        <w:rPr>
          <w:rFonts w:ascii="Times New Roman" w:hAnsi="Times New Roman" w:eastAsia="宋体"/>
          <w:b/>
          <w:sz w:val="24"/>
        </w:rPr>
        <w:t>Energy Environ. Sci.</w:t>
      </w:r>
      <w:r>
        <w:rPr>
          <w:rFonts w:ascii="Times New Roman" w:hAnsi="Times New Roman" w:eastAsia="宋体"/>
          <w:b w:val="0"/>
          <w:sz w:val="24"/>
        </w:rPr>
        <w:t xml:space="preserve"> 2024, </w:t>
      </w:r>
      <w:r>
        <w:rPr>
          <w:rFonts w:ascii="Times New Roman" w:hAnsi="Times New Roman" w:eastAsia="宋体"/>
          <w:b/>
          <w:sz w:val="24"/>
        </w:rPr>
        <w:t>17</w:t>
      </w:r>
      <w:r>
        <w:rPr>
          <w:rFonts w:ascii="Times New Roman" w:hAnsi="Times New Roman" w:eastAsia="宋体"/>
          <w:b w:val="0"/>
          <w:sz w:val="24"/>
        </w:rPr>
        <w:t>, 6755–6765）；</w:t>
      </w:r>
      <w:r>
        <w:rPr>
          <w:rFonts w:ascii="Times New Roman" w:hAnsi="Times New Roman" w:eastAsia="宋体"/>
          <w:b/>
          <w:sz w:val="24"/>
        </w:rPr>
        <w:t>"电子供给"调控稳定 Ru 位点</w:t>
      </w:r>
      <w:r>
        <w:rPr>
          <w:rFonts w:ascii="Times New Roman" w:hAnsi="Times New Roman" w:eastAsia="宋体"/>
          <w:b w:val="0"/>
          <w:sz w:val="24"/>
        </w:rPr>
        <w:t>（</w:t>
      </w:r>
      <w:r>
        <w:rPr>
          <w:rFonts w:ascii="Times New Roman" w:hAnsi="Times New Roman" w:eastAsia="宋体"/>
          <w:b/>
          <w:sz w:val="24"/>
        </w:rPr>
        <w:t>EES</w:t>
      </w:r>
      <w:r>
        <w:rPr>
          <w:rFonts w:ascii="Times New Roman" w:hAnsi="Times New Roman" w:eastAsia="宋体"/>
          <w:b w:val="0"/>
          <w:sz w:val="24"/>
        </w:rPr>
        <w:t xml:space="preserve"> 2022, </w:t>
      </w:r>
      <w:r>
        <w:rPr>
          <w:rFonts w:ascii="Times New Roman" w:hAnsi="Times New Roman" w:eastAsia="宋体"/>
          <w:b/>
          <w:sz w:val="24"/>
        </w:rPr>
        <w:t>15</w:t>
      </w:r>
      <w:r>
        <w:rPr>
          <w:rFonts w:ascii="Times New Roman" w:hAnsi="Times New Roman" w:eastAsia="宋体"/>
          <w:b w:val="0"/>
          <w:sz w:val="24"/>
        </w:rPr>
        <w:t>, 2356–2365）。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2.4 界面耦合 / 强金属–载体相互作用（SMSI）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 xml:space="preserve">⭐ </w:t>
      </w:r>
      <w:r>
        <w:rPr>
          <w:rFonts w:ascii="Times New Roman" w:hAnsi="Times New Roman" w:eastAsia="宋体"/>
          <w:b/>
          <w:sz w:val="24"/>
        </w:rPr>
        <w:t>Ti 毡负载 RuO₂/MnO₂ 纳米异质界面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OER 过程中 Mn³⁺/Mn⁴⁺ 动态调节 Ru 价态、抑制其过氧化与溶解</w:t>
      </w:r>
      <w:r>
        <w:rPr>
          <w:rFonts w:ascii="Times New Roman" w:hAnsi="Times New Roman" w:eastAsia="宋体"/>
          <w:b w:val="0"/>
          <w:sz w:val="24"/>
        </w:rPr>
        <w:t>；η = 189 mV，稳定 200 h（</w:t>
      </w:r>
      <w:r>
        <w:rPr>
          <w:rFonts w:ascii="Times New Roman" w:hAnsi="Times New Roman" w:eastAsia="宋体"/>
          <w:b/>
          <w:sz w:val="24"/>
        </w:rPr>
        <w:t>ACS Appl. Nano Mater.</w:t>
      </w:r>
      <w:r>
        <w:rPr>
          <w:rFonts w:ascii="Times New Roman" w:hAnsi="Times New Roman" w:eastAsia="宋体"/>
          <w:b w:val="0"/>
          <w:sz w:val="24"/>
        </w:rPr>
        <w:t xml:space="preserve"> 2026, </w:t>
      </w:r>
      <w:r>
        <w:rPr>
          <w:rFonts w:ascii="Times New Roman" w:hAnsi="Times New Roman" w:eastAsia="宋体"/>
          <w:b/>
          <w:sz w:val="24"/>
        </w:rPr>
        <w:t>9</w:t>
      </w:r>
      <w:r>
        <w:rPr>
          <w:rFonts w:ascii="Times New Roman" w:hAnsi="Times New Roman" w:eastAsia="宋体"/>
          <w:b w:val="0"/>
          <w:sz w:val="24"/>
        </w:rPr>
        <w:t>, 5526–5536, DOI: 10.1021/acsanm.6c00301）——</w:t>
      </w:r>
      <w:r>
        <w:rPr>
          <w:rFonts w:ascii="Times New Roman" w:hAnsi="Times New Roman" w:eastAsia="宋体"/>
          <w:b/>
          <w:sz w:val="24"/>
        </w:rPr>
        <w:t>与本课题假设最接近的机理证据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RuO₂/石墨烯界面 Ru 中心</w:t>
      </w:r>
      <w:r>
        <w:rPr>
          <w:rFonts w:ascii="Times New Roman" w:hAnsi="Times New Roman" w:eastAsia="宋体"/>
          <w:b w:val="0"/>
          <w:sz w:val="24"/>
        </w:rPr>
        <w:t>：η = 227 mV（商业 RuO₂ 290 mV）；DFT 表明界面 Ru 中心打破 HOO\</w:t>
      </w:r>
      <w:r>
        <w:rPr>
          <w:rFonts w:ascii="Times New Roman" w:hAnsi="Times New Roman" w:eastAsia="宋体"/>
          <w:b w:val="0"/>
          <w:i/>
          <w:sz w:val="24"/>
        </w:rPr>
        <w:t xml:space="preserve"> 与 HO\</w:t>
      </w:r>
      <w:r>
        <w:rPr>
          <w:rFonts w:ascii="Times New Roman" w:hAnsi="Times New Roman" w:eastAsia="宋体"/>
          <w:b w:val="0"/>
          <w:sz w:val="24"/>
        </w:rPr>
        <w:t xml:space="preserve"> 的经典标度关系（</w:t>
      </w:r>
      <w:r>
        <w:rPr>
          <w:rFonts w:ascii="Times New Roman" w:hAnsi="Times New Roman" w:eastAsia="宋体"/>
          <w:b/>
          <w:sz w:val="24"/>
        </w:rPr>
        <w:t>Adv. Mater.</w:t>
      </w:r>
      <w:r>
        <w:rPr>
          <w:rFonts w:ascii="Times New Roman" w:hAnsi="Times New Roman" w:eastAsia="宋体"/>
          <w:b w:val="0"/>
          <w:sz w:val="24"/>
        </w:rPr>
        <w:t xml:space="preserve"> 2020, </w:t>
      </w:r>
      <w:r>
        <w:rPr>
          <w:rFonts w:ascii="Times New Roman" w:hAnsi="Times New Roman" w:eastAsia="宋体"/>
          <w:b/>
          <w:sz w:val="24"/>
        </w:rPr>
        <w:t>32</w:t>
      </w:r>
      <w:r>
        <w:rPr>
          <w:rFonts w:ascii="Times New Roman" w:hAnsi="Times New Roman" w:eastAsia="宋体"/>
          <w:b w:val="0"/>
          <w:sz w:val="24"/>
        </w:rPr>
        <w:t>, 1908126）。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TiN–RuO₂ 强金属–载体相互作用</w:t>
      </w:r>
      <w:r>
        <w:rPr>
          <w:rFonts w:ascii="Times New Roman" w:hAnsi="Times New Roman" w:eastAsia="宋体"/>
          <w:b w:val="0"/>
          <w:sz w:val="24"/>
        </w:rPr>
        <w:t>（</w:t>
      </w:r>
      <w:r>
        <w:rPr>
          <w:rFonts w:ascii="Times New Roman" w:hAnsi="Times New Roman" w:eastAsia="宋体"/>
          <w:b/>
          <w:sz w:val="24"/>
        </w:rPr>
        <w:t>Int. J. Hydrogen Energy</w:t>
      </w:r>
      <w:r>
        <w:rPr>
          <w:rFonts w:ascii="Times New Roman" w:hAnsi="Times New Roman" w:eastAsia="宋体"/>
          <w:b w:val="0"/>
          <w:sz w:val="24"/>
        </w:rPr>
        <w:t xml:space="preserve"> 2024, </w:t>
      </w:r>
      <w:r>
        <w:rPr>
          <w:rFonts w:ascii="Times New Roman" w:hAnsi="Times New Roman" w:eastAsia="宋体"/>
          <w:b/>
          <w:sz w:val="24"/>
        </w:rPr>
        <w:t>71</w:t>
      </w:r>
      <w:r>
        <w:rPr>
          <w:rFonts w:ascii="Times New Roman" w:hAnsi="Times New Roman" w:eastAsia="宋体"/>
          <w:b w:val="0"/>
          <w:sz w:val="24"/>
        </w:rPr>
        <w:t>, 804–810）。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RuO₂@MnO₂ 界面工程</w:t>
      </w:r>
      <w:r>
        <w:rPr>
          <w:rFonts w:ascii="Times New Roman" w:hAnsi="Times New Roman" w:eastAsia="宋体"/>
          <w:b w:val="0"/>
          <w:sz w:val="24"/>
        </w:rPr>
        <w:t>（</w:t>
      </w:r>
      <w:r>
        <w:rPr>
          <w:rFonts w:ascii="Times New Roman" w:hAnsi="Times New Roman" w:eastAsia="宋体"/>
          <w:b/>
          <w:sz w:val="24"/>
        </w:rPr>
        <w:t>ECS Advances</w:t>
      </w:r>
      <w:r>
        <w:rPr>
          <w:rFonts w:ascii="Times New Roman" w:hAnsi="Times New Roman" w:eastAsia="宋体"/>
          <w:b w:val="0"/>
          <w:sz w:val="24"/>
        </w:rPr>
        <w:t xml:space="preserve"> 2026, </w:t>
      </w:r>
      <w:r>
        <w:rPr>
          <w:rFonts w:ascii="Times New Roman" w:hAnsi="Times New Roman" w:eastAsia="宋体"/>
          <w:b/>
          <w:sz w:val="24"/>
        </w:rPr>
        <w:t>5</w:t>
      </w:r>
      <w:r>
        <w:rPr>
          <w:rFonts w:ascii="Times New Roman" w:hAnsi="Times New Roman" w:eastAsia="宋体"/>
          <w:b w:val="0"/>
          <w:sz w:val="24"/>
        </w:rPr>
        <w:t>, 034501, DOI: 10.1149/2754-2734/ae8316）。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2.5 表面包覆 / 原位钝化层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⭐ MnO₂ 电化学"纳米盾"</w:t>
      </w:r>
      <w:r>
        <w:rPr>
          <w:rFonts w:ascii="Times New Roman" w:hAnsi="Times New Roman" w:eastAsia="宋体"/>
          <w:b w:val="0"/>
          <w:sz w:val="24"/>
        </w:rPr>
        <w:t>：电场诱导 Ru 单原子掺杂 Mn₃O₄ 表面</w:t>
      </w:r>
      <w:r>
        <w:rPr>
          <w:rFonts w:ascii="Times New Roman" w:hAnsi="Times New Roman" w:eastAsia="宋体"/>
          <w:b/>
          <w:sz w:val="24"/>
        </w:rPr>
        <w:t>原位重构出多孔 MnO₂ 纳米盾</w:t>
      </w:r>
      <w:r>
        <w:rPr>
          <w:rFonts w:ascii="Times New Roman" w:hAnsi="Times New Roman" w:eastAsia="宋体"/>
          <w:b w:val="0"/>
          <w:sz w:val="24"/>
        </w:rPr>
        <w:t xml:space="preserve">，不牺牲活性即抑制 Ru 溶解；0.5 M H₂SO₄ 中 </w:t>
      </w:r>
      <w:r>
        <w:rPr>
          <w:rFonts w:ascii="Times New Roman" w:hAnsi="Times New Roman" w:eastAsia="宋体"/>
          <w:b/>
          <w:sz w:val="24"/>
        </w:rPr>
        <w:t>η = 176 mV</w:t>
      </w:r>
      <w:r>
        <w:rPr>
          <w:rFonts w:ascii="Times New Roman" w:hAnsi="Times New Roman" w:eastAsia="宋体"/>
          <w:b w:val="0"/>
          <w:sz w:val="24"/>
        </w:rPr>
        <w:t>，</w:t>
      </w:r>
      <w:r>
        <w:rPr>
          <w:rFonts w:ascii="Times New Roman" w:hAnsi="Times New Roman" w:eastAsia="宋体"/>
          <w:b/>
          <w:sz w:val="24"/>
        </w:rPr>
        <w:t>50 mA cm⁻² 稳定超 8800 h（逾一年）</w:t>
      </w:r>
      <w:r>
        <w:rPr>
          <w:rFonts w:ascii="Times New Roman" w:hAnsi="Times New Roman" w:eastAsia="宋体"/>
          <w:b w:val="0"/>
          <w:sz w:val="24"/>
        </w:rPr>
        <w:t>（</w:t>
      </w:r>
      <w:r>
        <w:rPr>
          <w:rFonts w:ascii="Times New Roman" w:hAnsi="Times New Roman" w:eastAsia="宋体"/>
          <w:b/>
          <w:sz w:val="24"/>
        </w:rPr>
        <w:t>JACS</w:t>
      </w:r>
      <w:r>
        <w:rPr>
          <w:rFonts w:ascii="Times New Roman" w:hAnsi="Times New Roman" w:eastAsia="宋体"/>
          <w:b w:val="0"/>
          <w:sz w:val="24"/>
        </w:rPr>
        <w:t xml:space="preserve"> 2026, </w:t>
      </w:r>
      <w:r>
        <w:rPr>
          <w:rFonts w:ascii="Times New Roman" w:hAnsi="Times New Roman" w:eastAsia="宋体"/>
          <w:b/>
          <w:sz w:val="24"/>
        </w:rPr>
        <w:t>148</w:t>
      </w:r>
      <w:r>
        <w:rPr>
          <w:rFonts w:ascii="Times New Roman" w:hAnsi="Times New Roman" w:eastAsia="宋体"/>
          <w:b w:val="0"/>
          <w:sz w:val="24"/>
        </w:rPr>
        <w:t>, 2693–2702, DOI: 10.1021/jacs.5c18952）——</w:t>
      </w:r>
      <w:r>
        <w:rPr>
          <w:rFonts w:ascii="Times New Roman" w:hAnsi="Times New Roman" w:eastAsia="宋体"/>
          <w:b/>
          <w:sz w:val="24"/>
        </w:rPr>
        <w:t>本课题最直接的对标工作，性能标杆极高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RuO₂@TaOₓ 核壳</w:t>
      </w:r>
      <w:r>
        <w:rPr>
          <w:rFonts w:ascii="Times New Roman" w:hAnsi="Times New Roman" w:eastAsia="宋体"/>
          <w:b w:val="0"/>
          <w:sz w:val="24"/>
        </w:rPr>
        <w:t>：η = 163 / 232 mV @10 / 100 mA cm⁻²；致密非晶 TaOₓ 层阻止 RuO₂ 溶解（</w:t>
      </w:r>
      <w:r>
        <w:rPr>
          <w:rFonts w:ascii="Times New Roman" w:hAnsi="Times New Roman" w:eastAsia="宋体"/>
          <w:b/>
          <w:sz w:val="24"/>
        </w:rPr>
        <w:t>Angew. Chem. Int. Ed.</w:t>
      </w:r>
      <w:r>
        <w:rPr>
          <w:rFonts w:ascii="Times New Roman" w:hAnsi="Times New Roman" w:eastAsia="宋体"/>
          <w:b w:val="0"/>
          <w:sz w:val="24"/>
        </w:rPr>
        <w:t xml:space="preserve"> 2025, </w:t>
      </w:r>
      <w:r>
        <w:rPr>
          <w:rFonts w:ascii="Times New Roman" w:hAnsi="Times New Roman" w:eastAsia="宋体"/>
          <w:b/>
          <w:sz w:val="24"/>
        </w:rPr>
        <w:t>64</w:t>
      </w:r>
      <w:r>
        <w:rPr>
          <w:rFonts w:ascii="Times New Roman" w:hAnsi="Times New Roman" w:eastAsia="宋体"/>
          <w:b w:val="0"/>
          <w:sz w:val="24"/>
        </w:rPr>
        <w:t>, e202511750）。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IrOₓ 亚单层修饰 RuO₂</w:t>
      </w:r>
      <w:r>
        <w:rPr>
          <w:rFonts w:ascii="Times New Roman" w:hAnsi="Times New Roman" w:eastAsia="宋体"/>
          <w:b w:val="0"/>
          <w:sz w:val="24"/>
        </w:rPr>
        <w:t>：operando GI-EXAFS 证明 IrOₓ 确停留在 RuO₂ 表面，几乎不牺牲活性即缓解腐蚀（</w:t>
      </w:r>
      <w:r>
        <w:rPr>
          <w:rFonts w:ascii="Times New Roman" w:hAnsi="Times New Roman" w:eastAsia="宋体"/>
          <w:b/>
          <w:sz w:val="24"/>
        </w:rPr>
        <w:t>JPC B</w:t>
      </w:r>
      <w:r>
        <w:rPr>
          <w:rFonts w:ascii="Times New Roman" w:hAnsi="Times New Roman" w:eastAsia="宋体"/>
          <w:b w:val="0"/>
          <w:sz w:val="24"/>
        </w:rPr>
        <w:t xml:space="preserve"> 2018, </w:t>
      </w:r>
      <w:r>
        <w:rPr>
          <w:rFonts w:ascii="Times New Roman" w:hAnsi="Times New Roman" w:eastAsia="宋体"/>
          <w:b/>
          <w:sz w:val="24"/>
        </w:rPr>
        <w:t>122</w:t>
      </w:r>
      <w:r>
        <w:rPr>
          <w:rFonts w:ascii="Times New Roman" w:hAnsi="Times New Roman" w:eastAsia="宋体"/>
          <w:b w:val="0"/>
          <w:sz w:val="24"/>
        </w:rPr>
        <w:t>, 947–955）。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无掺杂 RuO₂ 亦可稳定</w:t>
      </w:r>
      <w:r>
        <w:rPr>
          <w:rFonts w:ascii="Times New Roman" w:hAnsi="Times New Roman" w:eastAsia="宋体"/>
          <w:b w:val="0"/>
          <w:sz w:val="24"/>
        </w:rPr>
        <w:t>（</w:t>
      </w:r>
      <w:r>
        <w:rPr>
          <w:rFonts w:ascii="Times New Roman" w:hAnsi="Times New Roman" w:eastAsia="宋体"/>
          <w:b/>
          <w:sz w:val="24"/>
        </w:rPr>
        <w:t>Nat. Commun.</w:t>
      </w:r>
      <w:r>
        <w:rPr>
          <w:rFonts w:ascii="Times New Roman" w:hAnsi="Times New Roman" w:eastAsia="宋体"/>
          <w:b w:val="0"/>
          <w:sz w:val="24"/>
        </w:rPr>
        <w:t xml:space="preserve"> 2025, </w:t>
      </w:r>
      <w:r>
        <w:rPr>
          <w:rFonts w:ascii="Times New Roman" w:hAnsi="Times New Roman" w:eastAsia="宋体"/>
          <w:b/>
          <w:sz w:val="24"/>
        </w:rPr>
        <w:t>16</w:t>
      </w:r>
      <w:r>
        <w:rPr>
          <w:rFonts w:ascii="Times New Roman" w:hAnsi="Times New Roman" w:eastAsia="宋体"/>
          <w:b w:val="0"/>
          <w:sz w:val="24"/>
        </w:rPr>
        <w:t>, DOI: 10.1038/s41467-025-56188-z）。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是否存在同名论文「Stabilizing Ruthenium through Ru–O–Mn Interfacial Coupling for Acidic Oxygen Evolution」？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结论：未检索到该确切标题的已发表论文。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检索方式与结果</w:t>
      </w:r>
      <w:r>
        <w:rPr>
          <w:rFonts w:ascii="Times New Roman" w:hAnsi="Times New Roman" w:eastAsia="宋体"/>
          <w:b w:val="0"/>
          <w:sz w:val="24"/>
        </w:rPr>
        <w:t xml:space="preserve">（2026-09-18）：Crossref REST API 的 </w:t>
      </w:r>
      <w:r>
        <w:rPr>
          <w:rFonts w:ascii="Consolas" w:hAnsi="Consolas" w:eastAsia="Consolas"/>
          <w:sz w:val="24"/>
          <w:shd w:fill="F0F0F0"/>
        </w:rPr>
        <w:t>query.bibliographic</w:t>
      </w:r>
      <w:r>
        <w:rPr>
          <w:rFonts w:ascii="Times New Roman" w:hAnsi="Times New Roman" w:eastAsia="宋体"/>
          <w:b w:val="0"/>
          <w:sz w:val="24"/>
        </w:rPr>
        <w:t xml:space="preserve"> 与 </w:t>
      </w:r>
      <w:r>
        <w:rPr>
          <w:rFonts w:ascii="Consolas" w:hAnsi="Consolas" w:eastAsia="Consolas"/>
          <w:sz w:val="24"/>
          <w:shd w:fill="F0F0F0"/>
        </w:rPr>
        <w:t>query.title</w:t>
      </w:r>
      <w:r>
        <w:rPr>
          <w:rFonts w:ascii="Times New Roman" w:hAnsi="Times New Roman" w:eastAsia="宋体"/>
          <w:b w:val="0"/>
          <w:sz w:val="24"/>
        </w:rPr>
        <w:t xml:space="preserve"> 两种检索式及网络全文检索，</w:t>
      </w:r>
      <w:r>
        <w:rPr>
          <w:rFonts w:ascii="Times New Roman" w:hAnsi="Times New Roman" w:eastAsia="宋体"/>
          <w:b/>
          <w:sz w:val="24"/>
        </w:rPr>
        <w:t>均未返回该确切标题的条目</w:t>
      </w:r>
      <w:r>
        <w:rPr>
          <w:rFonts w:ascii="Times New Roman" w:hAnsi="Times New Roman" w:eastAsia="宋体"/>
          <w:b w:val="0"/>
          <w:sz w:val="24"/>
        </w:rPr>
        <w:t>。Crossref 返回的最接近条目均为"Stabilizing Ru… for Acidic Oxygen Evolution"式的</w:t>
      </w:r>
      <w:r>
        <w:rPr>
          <w:rFonts w:ascii="Times New Roman" w:hAnsi="Times New Roman" w:eastAsia="宋体"/>
          <w:b/>
          <w:sz w:val="24"/>
        </w:rPr>
        <w:t>不同标题</w:t>
      </w:r>
      <w:r>
        <w:rPr>
          <w:rFonts w:ascii="Times New Roman" w:hAnsi="Times New Roman" w:eastAsia="宋体"/>
          <w:b w:val="0"/>
          <w:sz w:val="24"/>
        </w:rPr>
        <w:t xml:space="preserve">工作（如 </w:t>
      </w:r>
      <w:r>
        <w:rPr>
          <w:rFonts w:ascii="Times New Roman" w:hAnsi="Times New Roman" w:eastAsia="宋体"/>
          <w:b/>
          <w:sz w:val="24"/>
        </w:rPr>
        <w:t>Electrochim. Acta</w:t>
      </w:r>
      <w:r>
        <w:rPr>
          <w:rFonts w:ascii="Times New Roman" w:hAnsi="Times New Roman" w:eastAsia="宋体"/>
          <w:b w:val="0"/>
          <w:sz w:val="24"/>
        </w:rPr>
        <w:t xml:space="preserve"> 2026, DOI: 10.1016/j.electacta.2026.148691；</w:t>
      </w:r>
      <w:r>
        <w:rPr>
          <w:rFonts w:ascii="Times New Roman" w:hAnsi="Times New Roman" w:eastAsia="宋体"/>
          <w:b/>
          <w:sz w:val="24"/>
        </w:rPr>
        <w:t>Molecules</w:t>
      </w:r>
      <w:r>
        <w:rPr>
          <w:rFonts w:ascii="Times New Roman" w:hAnsi="Times New Roman" w:eastAsia="宋体"/>
          <w:b w:val="0"/>
          <w:sz w:val="24"/>
        </w:rPr>
        <w:t xml:space="preserve"> 2024, </w:t>
      </w:r>
      <w:r>
        <w:rPr>
          <w:rFonts w:ascii="Times New Roman" w:hAnsi="Times New Roman" w:eastAsia="宋体"/>
          <w:b/>
          <w:sz w:val="24"/>
        </w:rPr>
        <w:t>29</w:t>
      </w:r>
      <w:r>
        <w:rPr>
          <w:rFonts w:ascii="Times New Roman" w:hAnsi="Times New Roman" w:eastAsia="宋体"/>
          <w:b w:val="0"/>
          <w:sz w:val="24"/>
        </w:rPr>
        <w:t>, 785；DOI: 10.1021/acscatal.5c08110；DOI: 10.1021/jacs.6c02539，</w:t>
      </w:r>
      <w:r>
        <w:rPr>
          <w:rFonts w:ascii="Times New Roman" w:hAnsi="Times New Roman" w:eastAsia="宋体"/>
          <w:b/>
          <w:sz w:val="24"/>
        </w:rPr>
        <w:t>卷页待确认</w:t>
      </w:r>
      <w:r>
        <w:rPr>
          <w:rFonts w:ascii="Times New Roman" w:hAnsi="Times New Roman" w:eastAsia="宋体"/>
          <w:b w:val="0"/>
          <w:sz w:val="24"/>
        </w:rPr>
        <w:t>），均非同名。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判断（推断）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该标题</w:t>
      </w:r>
      <w:r>
        <w:rPr>
          <w:rFonts w:ascii="Times New Roman" w:hAnsi="Times New Roman" w:eastAsia="宋体"/>
          <w:b/>
          <w:sz w:val="24"/>
        </w:rPr>
        <w:t>很可能就是本 FYP 课题本身</w:t>
      </w:r>
      <w:r>
        <w:rPr>
          <w:rFonts w:ascii="Times New Roman" w:hAnsi="Times New Roman" w:eastAsia="宋体"/>
          <w:b w:val="0"/>
          <w:sz w:val="24"/>
        </w:rPr>
        <w:t>（由导师/mentor 拟定），而非某篇已发表论文的标题。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但</w:t>
      </w:r>
      <w:r>
        <w:rPr>
          <w:rFonts w:ascii="Times New Roman" w:hAnsi="Times New Roman" w:eastAsia="宋体"/>
          <w:b/>
          <w:sz w:val="24"/>
        </w:rPr>
        <w:t>"Ru–O–Mn 界面耦合"这一科学概念已确有其论文</w:t>
      </w:r>
      <w:r>
        <w:rPr>
          <w:rFonts w:ascii="Times New Roman" w:hAnsi="Times New Roman" w:eastAsia="宋体"/>
          <w:b w:val="0"/>
          <w:sz w:val="24"/>
        </w:rPr>
        <w:t>，且发表在与本课题高度重合的体系上（见第四节第 1 条）。</w:t>
      </w:r>
      <w:r>
        <w:rPr>
          <w:rFonts w:ascii="Times New Roman" w:hAnsi="Times New Roman" w:eastAsia="宋体"/>
          <w:b/>
          <w:sz w:val="24"/>
        </w:rPr>
        <w:t>这是最需要提前处理的"新颖性重叠"问题</w:t>
      </w:r>
      <w:r>
        <w:rPr>
          <w:rFonts w:ascii="Times New Roman" w:hAnsi="Times New Roman" w:eastAsia="宋体"/>
          <w:b w:val="0"/>
          <w:sz w:val="24"/>
        </w:rPr>
        <w:t>，建议在 pre 中主动引用并说明差异化。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检索局限</w:t>
      </w:r>
      <w:r>
        <w:rPr>
          <w:rFonts w:ascii="Times New Roman" w:hAnsi="Times New Roman" w:eastAsia="宋体"/>
          <w:b w:val="0"/>
          <w:sz w:val="24"/>
        </w:rPr>
        <w:t>：Google Scholar 需交互式验证、Semantic Scholar API 返回 429 限流，本次未能直接查询；但 Crossref 覆盖全部 DOI 注册论文，若该文已发表且有 DOI 应能命中。</w:t>
      </w:r>
      <w:r>
        <w:rPr>
          <w:rFonts w:ascii="Times New Roman" w:hAnsi="Times New Roman" w:eastAsia="宋体"/>
          <w:b/>
          <w:sz w:val="24"/>
        </w:rPr>
        <w:t>结论以 Crossref 为准。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MnO₂ 与 Ru 的相互作用：是否有"Ru–O–Mn 界面"的已发表证据？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有，且证据较强。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⭐ 最强证据：β-MnO₂ 边缘锚定孤立 Ru，明确提出 "Ru–O–Mn motifs"</w:t>
      </w:r>
    </w:p>
    <w:p>
      <w:pPr>
        <w:spacing w:line="360" w:lineRule="auto"/>
        <w:ind w:left="839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 xml:space="preserve">出处：Yan T. 等, </w:t>
      </w:r>
      <w:r>
        <w:rPr>
          <w:rFonts w:ascii="Times New Roman" w:hAnsi="Times New Roman" w:eastAsia="宋体"/>
          <w:b w:val="0"/>
          <w:i/>
          <w:sz w:val="24"/>
        </w:rPr>
        <w:t>Dynamic hydroxyl mediated charge buffering stabilizes high valence ruthenium edge sites for acidic water oxidation</w:t>
      </w:r>
      <w:r>
        <w:rPr>
          <w:rFonts w:ascii="Times New Roman" w:hAnsi="Times New Roman" w:eastAsia="宋体"/>
          <w:b w:val="0"/>
          <w:sz w:val="24"/>
        </w:rPr>
        <w:t xml:space="preserve">, </w:t>
      </w:r>
      <w:r>
        <w:rPr>
          <w:rFonts w:ascii="Times New Roman" w:hAnsi="Times New Roman" w:eastAsia="宋体"/>
          <w:b/>
          <w:sz w:val="24"/>
        </w:rPr>
        <w:t>Nat. Commun.</w:t>
      </w:r>
      <w:r>
        <w:rPr>
          <w:rFonts w:ascii="Times New Roman" w:hAnsi="Times New Roman" w:eastAsia="宋体"/>
          <w:b w:val="0"/>
          <w:sz w:val="24"/>
        </w:rPr>
        <w:t xml:space="preserve"> 2026, </w:t>
      </w:r>
      <w:r>
        <w:rPr>
          <w:rFonts w:ascii="Times New Roman" w:hAnsi="Times New Roman" w:eastAsia="宋体"/>
          <w:b/>
          <w:sz w:val="24"/>
        </w:rPr>
        <w:t>17</w:t>
      </w:r>
      <w:r>
        <w:rPr>
          <w:rFonts w:ascii="Times New Roman" w:hAnsi="Times New Roman" w:eastAsia="宋体"/>
          <w:b w:val="0"/>
          <w:sz w:val="24"/>
        </w:rPr>
        <w:t>, 7657, DOI: 10.1038/s41467-026-74540-9｜</w:t>
      </w:r>
      <w:hyperlink r:id="rId11">
        <w:r>
          <w:rPr>
            <w:rFonts w:ascii="Times New Roman" w:hAnsi="Times New Roman" w:eastAsia="宋体"/>
            <w:sz w:val="24"/>
            <w:color w:val="0563C1"/>
            <w:u w:val="single"/>
          </w:rPr>
          <w:t>链接</w:t>
        </w:r>
      </w:hyperlink>
    </w:p>
    <w:p>
      <w:pPr>
        <w:spacing w:line="360" w:lineRule="auto"/>
        <w:ind w:left="839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关键数据</w:t>
      </w:r>
      <w:r>
        <w:rPr>
          <w:rFonts w:ascii="Times New Roman" w:hAnsi="Times New Roman" w:eastAsia="宋体"/>
          <w:b w:val="0"/>
          <w:sz w:val="24"/>
        </w:rPr>
        <w:t>：孤立 Ru 锚定在</w:t>
      </w:r>
      <w:r>
        <w:rPr>
          <w:rFonts w:ascii="Times New Roman" w:hAnsi="Times New Roman" w:eastAsia="宋体"/>
          <w:b/>
          <w:sz w:val="24"/>
        </w:rPr>
        <w:t>耐酸 β-MnO₂ 的低配位边缘位</w:t>
      </w:r>
      <w:r>
        <w:rPr>
          <w:rFonts w:ascii="Times New Roman" w:hAnsi="Times New Roman" w:eastAsia="宋体"/>
          <w:b w:val="0"/>
          <w:sz w:val="24"/>
        </w:rPr>
        <w:t xml:space="preserve">形成 </w:t>
      </w:r>
      <w:r>
        <w:rPr>
          <w:rFonts w:ascii="Times New Roman" w:hAnsi="Times New Roman" w:eastAsia="宋体"/>
          <w:b/>
          <w:sz w:val="24"/>
        </w:rPr>
        <w:t>Ru–O–Mn 基元</w:t>
      </w:r>
      <w:r>
        <w:rPr>
          <w:rFonts w:ascii="Times New Roman" w:hAnsi="Times New Roman" w:eastAsia="宋体"/>
          <w:b w:val="0"/>
          <w:sz w:val="24"/>
        </w:rPr>
        <w:t xml:space="preserve">；宿主 Mn⁴⁺ 经 </w:t>
      </w:r>
      <w:r>
        <w:rPr>
          <w:rFonts w:ascii="Times New Roman" w:hAnsi="Times New Roman" w:eastAsia="宋体"/>
          <w:b/>
          <w:sz w:val="24"/>
        </w:rPr>
        <w:t>Ru–O–Mn 桥</w:t>
      </w:r>
      <w:r>
        <w:rPr>
          <w:rFonts w:ascii="Times New Roman" w:hAnsi="Times New Roman" w:eastAsia="宋体"/>
          <w:b w:val="0"/>
          <w:sz w:val="24"/>
        </w:rPr>
        <w:t>降低 Ru 电子密度；</w:t>
      </w:r>
      <w:r>
        <w:rPr>
          <w:rFonts w:ascii="Times New Roman" w:hAnsi="Times New Roman" w:eastAsia="宋体"/>
          <w:b/>
          <w:sz w:val="24"/>
        </w:rPr>
        <w:t>Ru 溶解能 2.06 eV</w:t>
      </w:r>
      <w:r>
        <w:rPr>
          <w:rFonts w:ascii="Times New Roman" w:hAnsi="Times New Roman" w:eastAsia="宋体"/>
          <w:b w:val="0"/>
          <w:sz w:val="24"/>
        </w:rPr>
        <w:t>（限域羟基化边缘位）</w:t>
      </w:r>
      <w:r>
        <w:rPr>
          <w:rFonts w:ascii="Times New Roman" w:hAnsi="Times New Roman" w:eastAsia="宋体"/>
          <w:b/>
          <w:sz w:val="24"/>
        </w:rPr>
        <w:t>显著高于 RuO₂(110) 的 1.67 eV</w:t>
      </w:r>
      <w:r>
        <w:rPr>
          <w:rFonts w:ascii="Times New Roman" w:hAnsi="Times New Roman" w:eastAsia="宋体"/>
          <w:b w:val="0"/>
          <w:sz w:val="24"/>
        </w:rPr>
        <w:t>；Ru₀.₀₃Mn₀.₉₇O₂ 的</w:t>
      </w:r>
      <w:r>
        <w:rPr>
          <w:rFonts w:ascii="Times New Roman" w:hAnsi="Times New Roman" w:eastAsia="宋体"/>
          <w:b/>
          <w:sz w:val="24"/>
        </w:rPr>
        <w:t>质量活性为 RuO₂ 的 223 倍</w:t>
      </w:r>
      <w:r>
        <w:rPr>
          <w:rFonts w:ascii="Times New Roman" w:hAnsi="Times New Roman" w:eastAsia="宋体"/>
          <w:b w:val="0"/>
          <w:sz w:val="24"/>
        </w:rPr>
        <w:t>、</w:t>
      </w:r>
      <w:r>
        <w:rPr>
          <w:rFonts w:ascii="Times New Roman" w:hAnsi="Times New Roman" w:eastAsia="宋体"/>
          <w:b/>
          <w:sz w:val="24"/>
        </w:rPr>
        <w:t>S-number 提升三个数量级</w:t>
      </w:r>
      <w:r>
        <w:rPr>
          <w:rFonts w:ascii="Times New Roman" w:hAnsi="Times New Roman" w:eastAsia="宋体"/>
          <w:b w:val="0"/>
          <w:sz w:val="24"/>
        </w:rPr>
        <w:t xml:space="preserve">；酸性 OER </w:t>
      </w:r>
      <w:r>
        <w:rPr>
          <w:rFonts w:ascii="Times New Roman" w:hAnsi="Times New Roman" w:eastAsia="宋体"/>
          <w:b/>
          <w:sz w:val="24"/>
        </w:rPr>
        <w:t>η = 232 mV @10 mA cm⁻²</w:t>
      </w:r>
      <w:r>
        <w:rPr>
          <w:rFonts w:ascii="Times New Roman" w:hAnsi="Times New Roman" w:eastAsia="宋体"/>
          <w:b w:val="0"/>
          <w:sz w:val="24"/>
        </w:rPr>
        <w:t xml:space="preserve">（0.1 M HClO₄）；PEMWE </w:t>
      </w:r>
      <w:r>
        <w:rPr>
          <w:rFonts w:ascii="Times New Roman" w:hAnsi="Times New Roman" w:eastAsia="宋体"/>
          <w:b/>
          <w:sz w:val="24"/>
        </w:rPr>
        <w:t>1 A cm⁻² 稳定超 1000 h</w:t>
      </w:r>
      <w:r>
        <w:rPr>
          <w:rFonts w:ascii="Times New Roman" w:hAnsi="Times New Roman" w:eastAsia="宋体"/>
          <w:b w:val="0"/>
          <w:sz w:val="24"/>
        </w:rPr>
        <w:t>，贵金属用量较 IrO₂ 低 80%。机理：宿主</w:t>
      </w:r>
      <w:r>
        <w:rPr>
          <w:rFonts w:ascii="Times New Roman" w:hAnsi="Times New Roman" w:eastAsia="宋体"/>
          <w:b/>
          <w:sz w:val="24"/>
        </w:rPr>
        <w:t>表面羟基</w:t>
      </w:r>
      <w:r>
        <w:rPr>
          <w:rFonts w:ascii="Times New Roman" w:hAnsi="Times New Roman" w:eastAsia="宋体"/>
          <w:b w:val="0"/>
          <w:sz w:val="24"/>
        </w:rPr>
        <w:t>作"动态电荷缓冲"，可逆容纳多余氧化电荷。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其余佐证</w:t>
      </w:r>
      <w:r>
        <w:rPr>
          <w:rFonts w:ascii="Times New Roman" w:hAnsi="Times New Roman" w:eastAsia="宋体"/>
          <w:b w:val="0"/>
          <w:sz w:val="24"/>
        </w:rPr>
        <w:t xml:space="preserve">：MnO₂/RuO₂ 异质界面的 </w:t>
      </w:r>
      <w:r>
        <w:rPr>
          <w:rFonts w:ascii="Times New Roman" w:hAnsi="Times New Roman" w:eastAsia="宋体"/>
          <w:b/>
          <w:sz w:val="24"/>
        </w:rPr>
        <w:t>Ru–O–Mn 键</w:t>
      </w:r>
      <w:r>
        <w:rPr>
          <w:rFonts w:ascii="Times New Roman" w:hAnsi="Times New Roman" w:eastAsia="宋体"/>
          <w:b w:val="0"/>
          <w:sz w:val="24"/>
        </w:rPr>
        <w:t>（</w:t>
      </w:r>
      <w:r>
        <w:rPr>
          <w:rFonts w:ascii="Times New Roman" w:hAnsi="Times New Roman" w:eastAsia="宋体"/>
          <w:b/>
          <w:sz w:val="24"/>
        </w:rPr>
        <w:t>Chem. Eng. J.</w:t>
      </w:r>
      <w:r>
        <w:rPr>
          <w:rFonts w:ascii="Times New Roman" w:hAnsi="Times New Roman" w:eastAsia="宋体"/>
          <w:b w:val="0"/>
          <w:sz w:val="24"/>
        </w:rPr>
        <w:t xml:space="preserve"> 2024, </w:t>
      </w:r>
      <w:r>
        <w:rPr>
          <w:rFonts w:ascii="Times New Roman" w:hAnsi="Times New Roman" w:eastAsia="宋体"/>
          <w:b/>
          <w:sz w:val="24"/>
        </w:rPr>
        <w:t>496</w:t>
      </w:r>
      <w:r>
        <w:rPr>
          <w:rFonts w:ascii="Times New Roman" w:hAnsi="Times New Roman" w:eastAsia="宋体"/>
          <w:b w:val="0"/>
          <w:sz w:val="24"/>
        </w:rPr>
        <w:t>, 153921，摘要页述 η = 220 mV、稳定 80 h，</w:t>
      </w:r>
      <w:r>
        <w:rPr>
          <w:rFonts w:ascii="Times New Roman" w:hAnsi="Times New Roman" w:eastAsia="宋体"/>
          <w:b/>
          <w:sz w:val="24"/>
        </w:rPr>
        <w:t>建议核对原文</w:t>
      </w:r>
      <w:r>
        <w:rPr>
          <w:rFonts w:ascii="Times New Roman" w:hAnsi="Times New Roman" w:eastAsia="宋体"/>
          <w:b w:val="0"/>
          <w:sz w:val="24"/>
        </w:rPr>
        <w:t xml:space="preserve">）；MnO₂ </w:t>
      </w:r>
      <w:r>
        <w:rPr>
          <w:rFonts w:ascii="Times New Roman" w:hAnsi="Times New Roman" w:eastAsia="宋体"/>
          <w:b/>
          <w:sz w:val="24"/>
        </w:rPr>
        <w:t>隧道尺寸</w:t>
      </w:r>
      <w:r>
        <w:rPr>
          <w:rFonts w:ascii="Times New Roman" w:hAnsi="Times New Roman" w:eastAsia="宋体"/>
          <w:b w:val="0"/>
          <w:sz w:val="24"/>
        </w:rPr>
        <w:t>调控 Ru–载体作用（</w:t>
      </w:r>
      <w:r>
        <w:rPr>
          <w:rFonts w:ascii="Times New Roman" w:hAnsi="Times New Roman" w:eastAsia="宋体"/>
          <w:b/>
          <w:sz w:val="24"/>
        </w:rPr>
        <w:t>JACS</w:t>
      </w:r>
      <w:r>
        <w:rPr>
          <w:rFonts w:ascii="Times New Roman" w:hAnsi="Times New Roman" w:eastAsia="宋体"/>
          <w:b w:val="0"/>
          <w:sz w:val="24"/>
        </w:rPr>
        <w:t xml:space="preserve"> 2025, </w:t>
      </w:r>
      <w:r>
        <w:rPr>
          <w:rFonts w:ascii="Times New Roman" w:hAnsi="Times New Roman" w:eastAsia="宋体"/>
          <w:b/>
          <w:sz w:val="24"/>
        </w:rPr>
        <w:t>147</w:t>
      </w:r>
      <w:r>
        <w:rPr>
          <w:rFonts w:ascii="Times New Roman" w:hAnsi="Times New Roman" w:eastAsia="宋体"/>
          <w:b w:val="0"/>
          <w:sz w:val="24"/>
        </w:rPr>
        <w:t xml:space="preserve">, 24392–24402）；Ti 毡 RuO₂/MnO₂ 中 </w:t>
      </w:r>
      <w:r>
        <w:rPr>
          <w:rFonts w:ascii="Times New Roman" w:hAnsi="Times New Roman" w:eastAsia="宋体"/>
          <w:b/>
          <w:sz w:val="24"/>
        </w:rPr>
        <w:t>Mn³⁺/Mn⁴⁺ 动态调节 Ru 价态</w:t>
      </w:r>
      <w:r>
        <w:rPr>
          <w:rFonts w:ascii="Times New Roman" w:hAnsi="Times New Roman" w:eastAsia="宋体"/>
          <w:b w:val="0"/>
          <w:sz w:val="24"/>
        </w:rPr>
        <w:t>（η = 189 mV，200 h，</w:t>
      </w:r>
      <w:r>
        <w:rPr>
          <w:rFonts w:ascii="Times New Roman" w:hAnsi="Times New Roman" w:eastAsia="宋体"/>
          <w:b/>
          <w:sz w:val="24"/>
        </w:rPr>
        <w:t>ACS Appl. Nano Mater.</w:t>
      </w:r>
      <w:r>
        <w:rPr>
          <w:rFonts w:ascii="Times New Roman" w:hAnsi="Times New Roman" w:eastAsia="宋体"/>
          <w:b w:val="0"/>
          <w:sz w:val="24"/>
        </w:rPr>
        <w:t xml:space="preserve"> 2026, </w:t>
      </w:r>
      <w:r>
        <w:rPr>
          <w:rFonts w:ascii="Times New Roman" w:hAnsi="Times New Roman" w:eastAsia="宋体"/>
          <w:b/>
          <w:sz w:val="24"/>
        </w:rPr>
        <w:t>9</w:t>
      </w:r>
      <w:r>
        <w:rPr>
          <w:rFonts w:ascii="Times New Roman" w:hAnsi="Times New Roman" w:eastAsia="宋体"/>
          <w:b w:val="0"/>
          <w:sz w:val="24"/>
        </w:rPr>
        <w:t>, 5526–5536）；原位生成 MnO₂"纳米盾"（8800 h，</w:t>
      </w:r>
      <w:r>
        <w:rPr>
          <w:rFonts w:ascii="Times New Roman" w:hAnsi="Times New Roman" w:eastAsia="宋体"/>
          <w:b/>
          <w:sz w:val="24"/>
        </w:rPr>
        <w:t>JACS</w:t>
      </w:r>
      <w:r>
        <w:rPr>
          <w:rFonts w:ascii="Times New Roman" w:hAnsi="Times New Roman" w:eastAsia="宋体"/>
          <w:b w:val="0"/>
          <w:sz w:val="24"/>
        </w:rPr>
        <w:t xml:space="preserve"> 2026, </w:t>
      </w:r>
      <w:r>
        <w:rPr>
          <w:rFonts w:ascii="Times New Roman" w:hAnsi="Times New Roman" w:eastAsia="宋体"/>
          <w:b/>
          <w:sz w:val="24"/>
        </w:rPr>
        <w:t>148</w:t>
      </w:r>
      <w:r>
        <w:rPr>
          <w:rFonts w:ascii="Times New Roman" w:hAnsi="Times New Roman" w:eastAsia="宋体"/>
          <w:b w:val="0"/>
          <w:sz w:val="24"/>
        </w:rPr>
        <w:t>, 2693–2702）；Mn 掺杂 + 氧空位调控 RuO₂ 自旋极化（</w:t>
      </w:r>
      <w:r>
        <w:rPr>
          <w:rFonts w:ascii="Times New Roman" w:hAnsi="Times New Roman" w:eastAsia="宋体"/>
          <w:b/>
          <w:sz w:val="24"/>
        </w:rPr>
        <w:t>ACS Appl. Energy Mater.</w:t>
      </w:r>
      <w:r>
        <w:rPr>
          <w:rFonts w:ascii="Times New Roman" w:hAnsi="Times New Roman" w:eastAsia="宋体"/>
          <w:b w:val="0"/>
          <w:sz w:val="24"/>
        </w:rPr>
        <w:t xml:space="preserve"> 2026, </w:t>
      </w:r>
      <w:r>
        <w:rPr>
          <w:rFonts w:ascii="Times New Roman" w:hAnsi="Times New Roman" w:eastAsia="宋体"/>
          <w:b/>
          <w:sz w:val="24"/>
        </w:rPr>
        <w:t>9</w:t>
      </w:r>
      <w:r>
        <w:rPr>
          <w:rFonts w:ascii="Times New Roman" w:hAnsi="Times New Roman" w:eastAsia="宋体"/>
          <w:b w:val="0"/>
          <w:sz w:val="24"/>
        </w:rPr>
        <w:t>, 1489–1498）。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机制共识（推断）</w:t>
      </w:r>
      <w:r>
        <w:rPr>
          <w:rFonts w:ascii="Times New Roman" w:hAnsi="Times New Roman" w:eastAsia="宋体"/>
          <w:b w:val="0"/>
          <w:sz w:val="24"/>
        </w:rPr>
        <w:t>：MnO₂/MnOₓ 对 Ru 的作用有三条——（a）</w:t>
      </w:r>
      <w:r>
        <w:rPr>
          <w:rFonts w:ascii="Times New Roman" w:hAnsi="Times New Roman" w:eastAsia="宋体"/>
          <w:b/>
          <w:sz w:val="24"/>
        </w:rPr>
        <w:t>物理限域</w:t>
      </w:r>
      <w:r>
        <w:rPr>
          <w:rFonts w:ascii="Times New Roman" w:hAnsi="Times New Roman" w:eastAsia="宋体"/>
          <w:b w:val="0"/>
          <w:sz w:val="24"/>
        </w:rPr>
        <w:t>：把 Ru 钉在低配位边缘位，提高溶解能垒；（b）</w:t>
      </w:r>
      <w:r>
        <w:rPr>
          <w:rFonts w:ascii="Times New Roman" w:hAnsi="Times New Roman" w:eastAsia="宋体"/>
          <w:b/>
          <w:sz w:val="24"/>
        </w:rPr>
        <w:t>电子调控</w:t>
      </w:r>
      <w:r>
        <w:rPr>
          <w:rFonts w:ascii="Times New Roman" w:hAnsi="Times New Roman" w:eastAsia="宋体"/>
          <w:b w:val="0"/>
          <w:sz w:val="24"/>
        </w:rPr>
        <w:t>：经 Ru–O–Mn 桥拉走电子密度或缓冲氧化电荷；（c）</w:t>
      </w:r>
      <w:r>
        <w:rPr>
          <w:rFonts w:ascii="Times New Roman" w:hAnsi="Times New Roman" w:eastAsia="宋体"/>
          <w:b/>
          <w:sz w:val="24"/>
        </w:rPr>
        <w:t>羟基调控</w:t>
      </w:r>
      <w:r>
        <w:rPr>
          <w:rFonts w:ascii="Times New Roman" w:hAnsi="Times New Roman" w:eastAsia="宋体"/>
          <w:b w:val="0"/>
          <w:sz w:val="24"/>
        </w:rPr>
        <w:t>：表面羟基优化中间体吸附并充当"电荷缓冲池"。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电沉积 MnO₂ 的工艺要点</w:t>
      </w:r>
    </w:p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5.1 两条基本路线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</w:tblGrid>
      <w:tr>
        <w:tc>
          <w:tcPr>
            <w:tcW w:type="dxa" w:w="1243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路线</w:t>
            </w:r>
          </w:p>
        </w:tc>
        <w:tc>
          <w:tcPr>
            <w:tcW w:type="dxa" w:w="2211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反应</w:t>
            </w:r>
          </w:p>
        </w:tc>
        <w:tc>
          <w:tcPr>
            <w:tcW w:type="dxa" w:w="5009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阳极氧化沉积（常用）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Mn²⁺ + 2H₂O → MnO₂ + 4H⁺ + 2e⁻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由 Mn²⁺（MnSO₄、Mn(CH₃COO)₂ 等）在阳极氧化；沉积伴随</w:t>
            </w:r>
            <w:r>
              <w:rPr>
                <w:rFonts w:ascii="Times New Roman" w:hAnsi="Times New Roman" w:eastAsia="宋体"/>
                <w:b/>
                <w:sz w:val="24"/>
              </w:rPr>
              <w:t>局部酸化</w:t>
            </w:r>
            <w:r>
              <w:rPr>
                <w:rFonts w:ascii="Times New Roman" w:hAnsi="Times New Roman" w:eastAsia="宋体"/>
                <w:b w:val="0"/>
                <w:sz w:val="24"/>
              </w:rPr>
              <w:t>，故浴液 pH 与缓冲能力关键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阴极还原沉积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MnO₄⁻ + 2H₂O + 3e⁻ → MnO₂ + 4OH⁻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由高锰酸盐（Mn⁷⁺）还原沉积；可避免 Mn²⁺ 氧化所需的强阳极电位</w:t>
            </w:r>
          </w:p>
        </w:tc>
      </w:tr>
    </w:tbl>
    <w:p/>
    <w:p/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来源（两路线对照）：</w:t>
      </w:r>
      <w:r>
        <w:rPr>
          <w:rFonts w:ascii="Times New Roman" w:hAnsi="Times New Roman" w:eastAsia="宋体"/>
          <w:b w:val="0"/>
          <w:i/>
          <w:sz w:val="24"/>
        </w:rPr>
        <w:t>Anodically Deposited MnO₂/Stainless Steel…</w:t>
      </w:r>
      <w:r>
        <w:rPr>
          <w:rFonts w:ascii="Times New Roman" w:hAnsi="Times New Roman" w:eastAsia="宋体"/>
          <w:b w:val="0"/>
          <w:sz w:val="24"/>
        </w:rPr>
        <w:t>｜</w:t>
      </w:r>
      <w:hyperlink r:id="rId12">
        <w:r>
          <w:rPr>
            <w:rFonts w:ascii="Times New Roman" w:hAnsi="Times New Roman" w:eastAsia="宋体"/>
            <w:sz w:val="24"/>
            <w:color w:val="0563C1"/>
            <w:u w:val="single"/>
          </w:rPr>
          <w:t>链接</w:t>
        </w:r>
      </w:hyperlink>
      <w:r>
        <w:rPr>
          <w:rFonts w:ascii="Times New Roman" w:hAnsi="Times New Roman" w:eastAsia="宋体"/>
          <w:b w:val="0"/>
          <w:sz w:val="24"/>
        </w:rPr>
        <w:t>（</w:t>
      </w:r>
      <w:r>
        <w:rPr>
          <w:rFonts w:ascii="Times New Roman" w:hAnsi="Times New Roman" w:eastAsia="宋体"/>
          <w:b/>
          <w:sz w:val="24"/>
        </w:rPr>
        <w:t>期刊层次较低，仅作背景参考</w:t>
      </w:r>
      <w:r>
        <w:rPr>
          <w:rFonts w:ascii="Times New Roman" w:hAnsi="Times New Roman" w:eastAsia="宋体"/>
          <w:b w:val="0"/>
          <w:sz w:val="24"/>
        </w:rPr>
        <w:t xml:space="preserve">）；综述 </w:t>
      </w:r>
      <w:r>
        <w:rPr>
          <w:rFonts w:ascii="Times New Roman" w:hAnsi="Times New Roman" w:eastAsia="宋体"/>
          <w:b/>
          <w:sz w:val="24"/>
        </w:rPr>
        <w:t>Nanomaterials</w:t>
      </w:r>
      <w:r>
        <w:rPr>
          <w:rFonts w:ascii="Times New Roman" w:hAnsi="Times New Roman" w:eastAsia="宋体"/>
          <w:b w:val="0"/>
          <w:sz w:val="24"/>
        </w:rPr>
        <w:t xml:space="preserve"> 2017, </w:t>
      </w:r>
      <w:r>
        <w:rPr>
          <w:rFonts w:ascii="Times New Roman" w:hAnsi="Times New Roman" w:eastAsia="宋体"/>
          <w:b/>
          <w:sz w:val="24"/>
        </w:rPr>
        <w:t>7</w:t>
      </w:r>
      <w:r>
        <w:rPr>
          <w:rFonts w:ascii="Times New Roman" w:hAnsi="Times New Roman" w:eastAsia="宋体"/>
          <w:b w:val="0"/>
          <w:sz w:val="24"/>
        </w:rPr>
        <w:t>, 396。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5.2 基底选择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Ti 片 / Ti 毡（推荐）</w:t>
      </w:r>
      <w:r>
        <w:rPr>
          <w:rFonts w:ascii="Times New Roman" w:hAnsi="Times New Roman" w:eastAsia="宋体"/>
          <w:b w:val="0"/>
          <w:sz w:val="24"/>
        </w:rPr>
        <w:t xml:space="preserve">：酸性 PEM 电解槽的工业标准基底，耐酸并形成钝化 TiO₂（缺点是钝化层增电阻）。已有 </w:t>
      </w:r>
      <w:r>
        <w:rPr>
          <w:rFonts w:ascii="Times New Roman" w:hAnsi="Times New Roman" w:eastAsia="宋体"/>
          <w:b/>
          <w:sz w:val="24"/>
        </w:rPr>
        <w:t>Ti 毡负载 RuO₂/MnO₂</w:t>
      </w:r>
      <w:r>
        <w:rPr>
          <w:rFonts w:ascii="Times New Roman" w:hAnsi="Times New Roman" w:eastAsia="宋体"/>
          <w:b w:val="0"/>
          <w:sz w:val="24"/>
        </w:rPr>
        <w:t xml:space="preserve"> 的酸性 OER 报道（DOI: 10.1021/acsanm.6c00301），</w:t>
      </w:r>
      <w:r>
        <w:rPr>
          <w:rFonts w:ascii="Times New Roman" w:hAnsi="Times New Roman" w:eastAsia="宋体"/>
          <w:b/>
          <w:sz w:val="24"/>
        </w:rPr>
        <w:t>说明 Ti 与本课题体系兼容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碳纸 / 碳布</w:t>
      </w:r>
      <w:r>
        <w:rPr>
          <w:rFonts w:ascii="Times New Roman" w:hAnsi="Times New Roman" w:eastAsia="宋体"/>
          <w:b w:val="0"/>
          <w:sz w:val="24"/>
        </w:rPr>
        <w:t>：柔性多孔、导电好，但酸性 OER 高电位（&gt;1.5 V vs RHE）下</w:t>
      </w:r>
      <w:r>
        <w:rPr>
          <w:rFonts w:ascii="Times New Roman" w:hAnsi="Times New Roman" w:eastAsia="宋体"/>
          <w:b/>
          <w:sz w:val="24"/>
        </w:rPr>
        <w:t>碳会被氧化腐蚀</w:t>
      </w:r>
      <w:r>
        <w:rPr>
          <w:rFonts w:ascii="Times New Roman" w:hAnsi="Times New Roman" w:eastAsia="宋体"/>
          <w:b w:val="0"/>
          <w:sz w:val="24"/>
        </w:rPr>
        <w:t>（推断）。</w:t>
      </w:r>
      <w:r>
        <w:rPr>
          <w:rFonts w:ascii="Times New Roman" w:hAnsi="Times New Roman" w:eastAsia="宋体"/>
          <w:b/>
          <w:sz w:val="24"/>
        </w:rPr>
        <w:t>FTO / ITO</w:t>
      </w:r>
      <w:r>
        <w:rPr>
          <w:rFonts w:ascii="Times New Roman" w:hAnsi="Times New Roman" w:eastAsia="宋体"/>
          <w:b w:val="0"/>
          <w:sz w:val="24"/>
        </w:rPr>
        <w:t xml:space="preserve"> 透明便于表征，但导电性一般，强酸/高电位下不稳定（推断）。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泡沫镍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Ni 在酸中极易溶解</w:t>
      </w:r>
      <w:r>
        <w:rPr>
          <w:rFonts w:ascii="Times New Roman" w:hAnsi="Times New Roman" w:eastAsia="宋体"/>
          <w:b w:val="0"/>
          <w:sz w:val="24"/>
        </w:rPr>
        <w:t xml:space="preserve">，不适合酸性 OER（推断）；精读的 Science 论文用 Ni 作弹性层（P4）属 </w:t>
      </w:r>
      <w:r>
        <w:rPr>
          <w:rFonts w:ascii="Times New Roman" w:hAnsi="Times New Roman" w:eastAsia="宋体"/>
          <w:b/>
          <w:sz w:val="24"/>
        </w:rPr>
        <w:t>1 M KOH 碱性体系，不可照搬</w:t>
      </w:r>
      <w:r>
        <w:rPr>
          <w:rFonts w:ascii="Times New Roman" w:hAnsi="Times New Roman" w:eastAsia="宋体"/>
          <w:b w:val="0"/>
          <w:sz w:val="24"/>
        </w:rPr>
        <w:t>。</w:t>
      </w:r>
    </w:p>
    <w:p/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小结（推断）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Ti 片/钛毡最稳妥</w:t>
      </w:r>
      <w:r>
        <w:rPr>
          <w:rFonts w:ascii="Times New Roman" w:hAnsi="Times New Roman" w:eastAsia="宋体"/>
          <w:b w:val="0"/>
          <w:sz w:val="24"/>
        </w:rPr>
        <w:t>；碳纸需先验证空白耐蚀性；泡沫镍与 FTO 不宜作主选。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5.3 关键参数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电位决定晶相</w:t>
      </w:r>
      <w:r>
        <w:rPr>
          <w:rFonts w:ascii="Times New Roman" w:hAnsi="Times New Roman" w:eastAsia="宋体"/>
          <w:b w:val="0"/>
          <w:sz w:val="24"/>
        </w:rPr>
        <w:t>：施加电位直接决定电沉积锰氧化物所得相与微结构（</w:t>
      </w:r>
      <w:r>
        <w:rPr>
          <w:rFonts w:ascii="Times New Roman" w:hAnsi="Times New Roman" w:eastAsia="宋体"/>
          <w:b/>
          <w:sz w:val="24"/>
        </w:rPr>
        <w:t>Appl. Surf. Sci.</w:t>
      </w:r>
      <w:r>
        <w:rPr>
          <w:rFonts w:ascii="Times New Roman" w:hAnsi="Times New Roman" w:eastAsia="宋体"/>
          <w:b w:val="0"/>
          <w:sz w:val="24"/>
        </w:rPr>
        <w:t xml:space="preserve"> 2022, </w:t>
      </w:r>
      <w:r>
        <w:rPr>
          <w:rFonts w:ascii="Times New Roman" w:hAnsi="Times New Roman" w:eastAsia="宋体"/>
          <w:b/>
          <w:sz w:val="24"/>
        </w:rPr>
        <w:t>580</w:t>
      </w:r>
      <w:r>
        <w:rPr>
          <w:rFonts w:ascii="Times New Roman" w:hAnsi="Times New Roman" w:eastAsia="宋体"/>
          <w:b w:val="0"/>
          <w:sz w:val="24"/>
        </w:rPr>
        <w:t>, 152289）。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⭐ 活化工艺（可直接借鉴）</w:t>
      </w:r>
      <w:r>
        <w:rPr>
          <w:rFonts w:ascii="Times New Roman" w:hAnsi="Times New Roman" w:eastAsia="宋体"/>
          <w:b w:val="0"/>
          <w:sz w:val="24"/>
        </w:rPr>
        <w:t>：Huynh 等发现</w:t>
      </w:r>
      <w:r>
        <w:rPr>
          <w:rFonts w:ascii="Times New Roman" w:hAnsi="Times New Roman" w:eastAsia="宋体"/>
          <w:b/>
          <w:sz w:val="24"/>
        </w:rPr>
        <w:t>恒电位阳极沉积</w:t>
      </w:r>
      <w:r>
        <w:rPr>
          <w:rFonts w:ascii="Times New Roman" w:hAnsi="Times New Roman" w:eastAsia="宋体"/>
          <w:b w:val="0"/>
          <w:sz w:val="24"/>
        </w:rPr>
        <w:t>的 MnOₓ 在酸中虽稳定但活性一般（Tafel 约 120 mV dec⁻¹），经</w:t>
      </w:r>
      <w:r>
        <w:rPr>
          <w:rFonts w:ascii="Times New Roman" w:hAnsi="Times New Roman" w:eastAsia="宋体"/>
          <w:b/>
          <w:sz w:val="24"/>
        </w:rPr>
        <w:t>电位循环"活化"后降至约 70 mV dec⁻¹</w:t>
      </w:r>
      <w:r>
        <w:rPr>
          <w:rFonts w:ascii="Times New Roman" w:hAnsi="Times New Roman" w:eastAsia="宋体"/>
          <w:b w:val="0"/>
          <w:sz w:val="24"/>
        </w:rPr>
        <w:t>（</w:t>
      </w:r>
      <w:r>
        <w:rPr>
          <w:rFonts w:ascii="Times New Roman" w:hAnsi="Times New Roman" w:eastAsia="宋体"/>
          <w:b/>
          <w:sz w:val="24"/>
        </w:rPr>
        <w:t>JACS</w:t>
      </w:r>
      <w:r>
        <w:rPr>
          <w:rFonts w:ascii="Times New Roman" w:hAnsi="Times New Roman" w:eastAsia="宋体"/>
          <w:b w:val="0"/>
          <w:sz w:val="24"/>
        </w:rPr>
        <w:t xml:space="preserve"> 2015, </w:t>
      </w:r>
      <w:r>
        <w:rPr>
          <w:rFonts w:ascii="Times New Roman" w:hAnsi="Times New Roman" w:eastAsia="宋体"/>
          <w:b/>
          <w:sz w:val="24"/>
        </w:rPr>
        <w:t>137</w:t>
      </w:r>
      <w:r>
        <w:rPr>
          <w:rFonts w:ascii="Times New Roman" w:hAnsi="Times New Roman" w:eastAsia="宋体"/>
          <w:b w:val="0"/>
          <w:sz w:val="24"/>
        </w:rPr>
        <w:t>, DOI: 10.1021/jacs.5b06382）。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致密性</w:t>
      </w:r>
      <w:r>
        <w:rPr>
          <w:rFonts w:ascii="Times New Roman" w:hAnsi="Times New Roman" w:eastAsia="宋体"/>
          <w:b w:val="0"/>
          <w:sz w:val="24"/>
        </w:rPr>
        <w:t>：界面热力学控制是获得</w:t>
      </w:r>
      <w:r>
        <w:rPr>
          <w:rFonts w:ascii="Times New Roman" w:hAnsi="Times New Roman" w:eastAsia="宋体"/>
          <w:b/>
          <w:sz w:val="24"/>
        </w:rPr>
        <w:t>致密、保形</w:t>
      </w:r>
      <w:r>
        <w:rPr>
          <w:rFonts w:ascii="Times New Roman" w:hAnsi="Times New Roman" w:eastAsia="宋体"/>
          <w:b w:val="0"/>
          <w:sz w:val="24"/>
        </w:rPr>
        <w:t xml:space="preserve"> MnO₂ 的关键（</w:t>
      </w:r>
      <w:r>
        <w:rPr>
          <w:rFonts w:ascii="Times New Roman" w:hAnsi="Times New Roman" w:eastAsia="宋体"/>
          <w:b/>
          <w:sz w:val="24"/>
        </w:rPr>
        <w:t>JACS</w:t>
      </w:r>
      <w:r>
        <w:rPr>
          <w:rFonts w:ascii="Times New Roman" w:hAnsi="Times New Roman" w:eastAsia="宋体"/>
          <w:b w:val="0"/>
          <w:sz w:val="24"/>
        </w:rPr>
        <w:t xml:space="preserve"> 2026, </w:t>
      </w:r>
      <w:r>
        <w:rPr>
          <w:rFonts w:ascii="Times New Roman" w:hAnsi="Times New Roman" w:eastAsia="宋体"/>
          <w:b/>
          <w:sz w:val="24"/>
        </w:rPr>
        <w:t>148</w:t>
      </w:r>
      <w:r>
        <w:rPr>
          <w:rFonts w:ascii="Times New Roman" w:hAnsi="Times New Roman" w:eastAsia="宋体"/>
          <w:b w:val="0"/>
          <w:sz w:val="24"/>
        </w:rPr>
        <w:t>, 20830–20840）。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浴液 pH / 温度</w:t>
      </w:r>
      <w:r>
        <w:rPr>
          <w:rFonts w:ascii="Times New Roman" w:hAnsi="Times New Roman" w:eastAsia="宋体"/>
          <w:b w:val="0"/>
          <w:sz w:val="24"/>
        </w:rPr>
        <w:t xml:space="preserve">：综述指出 </w:t>
      </w:r>
      <w:r>
        <w:rPr>
          <w:rFonts w:ascii="Times New Roman" w:hAnsi="Times New Roman" w:eastAsia="宋体"/>
          <w:b/>
          <w:sz w:val="24"/>
        </w:rPr>
        <w:t>α-MnO₂ 倾向在高 H₂SO₄ 浓度与高温度下生成</w:t>
      </w:r>
      <w:r>
        <w:rPr>
          <w:rFonts w:ascii="Times New Roman" w:hAnsi="Times New Roman" w:eastAsia="宋体"/>
          <w:b w:val="0"/>
          <w:sz w:val="24"/>
        </w:rPr>
        <w:t>（</w:t>
      </w:r>
      <w:r>
        <w:rPr>
          <w:rFonts w:ascii="Times New Roman" w:hAnsi="Times New Roman" w:eastAsia="宋体"/>
          <w:b/>
          <w:sz w:val="24"/>
        </w:rPr>
        <w:t>Nanomaterials</w:t>
      </w:r>
      <w:r>
        <w:rPr>
          <w:rFonts w:ascii="Times New Roman" w:hAnsi="Times New Roman" w:eastAsia="宋体"/>
          <w:b w:val="0"/>
          <w:sz w:val="24"/>
        </w:rPr>
        <w:t xml:space="preserve"> 2017, </w:t>
      </w:r>
      <w:r>
        <w:rPr>
          <w:rFonts w:ascii="Times New Roman" w:hAnsi="Times New Roman" w:eastAsia="宋体"/>
          <w:b/>
          <w:sz w:val="24"/>
        </w:rPr>
        <w:t>7</w:t>
      </w:r>
      <w:r>
        <w:rPr>
          <w:rFonts w:ascii="Times New Roman" w:hAnsi="Times New Roman" w:eastAsia="宋体"/>
          <w:b w:val="0"/>
          <w:sz w:val="24"/>
        </w:rPr>
        <w:t>, 396）。</w:t>
      </w:r>
      <w:r>
        <w:rPr>
          <w:rFonts w:ascii="Times New Roman" w:hAnsi="Times New Roman" w:eastAsia="宋体"/>
          <w:b/>
          <w:sz w:val="24"/>
        </w:rPr>
        <w:t>注：该结论原用于化学法合成，迁移到电沉积需验证 → 待确认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添加剂 / 络合剂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未找到</w:t>
      </w:r>
      <w:r>
        <w:rPr>
          <w:rFonts w:ascii="Times New Roman" w:hAnsi="Times New Roman" w:eastAsia="宋体"/>
          <w:b w:val="0"/>
          <w:sz w:val="24"/>
        </w:rPr>
        <w:t>针对"酸性 OER 用电沉积 MnO₂"的专门研究（</w:t>
      </w:r>
      <w:r>
        <w:rPr>
          <w:rFonts w:ascii="Times New Roman" w:hAnsi="Times New Roman" w:eastAsia="宋体"/>
          <w:b/>
          <w:sz w:val="24"/>
        </w:rPr>
        <w:t>待确认</w:t>
      </w:r>
      <w:r>
        <w:rPr>
          <w:rFonts w:ascii="Times New Roman" w:hAnsi="Times New Roman" w:eastAsia="宋体"/>
          <w:b w:val="0"/>
          <w:sz w:val="24"/>
        </w:rPr>
        <w:t>）；常见做法是加 Na₂SO₄ 等支持电解质。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5.4 α- / γ- / δ- / ε-MnO₂ 的控制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电沉积 + 热处理可得不同晶相，</w:t>
      </w:r>
      <w:r>
        <w:rPr>
          <w:rFonts w:ascii="Times New Roman" w:hAnsi="Times New Roman" w:eastAsia="宋体"/>
          <w:b/>
          <w:sz w:val="24"/>
        </w:rPr>
        <w:t>施加电位是关键变量</w:t>
      </w:r>
      <w:r>
        <w:rPr>
          <w:rFonts w:ascii="Times New Roman" w:hAnsi="Times New Roman" w:eastAsia="宋体"/>
          <w:b w:val="0"/>
          <w:sz w:val="24"/>
        </w:rPr>
        <w:t>（DOI 同 5.3）；亦可通过</w:t>
      </w:r>
      <w:r>
        <w:rPr>
          <w:rFonts w:ascii="Times New Roman" w:hAnsi="Times New Roman" w:eastAsia="宋体"/>
          <w:b/>
          <w:sz w:val="24"/>
        </w:rPr>
        <w:t>外延电沉积</w:t>
      </w:r>
      <w:r>
        <w:rPr>
          <w:rFonts w:ascii="Times New Roman" w:hAnsi="Times New Roman" w:eastAsia="宋体"/>
          <w:b w:val="0"/>
          <w:sz w:val="24"/>
        </w:rPr>
        <w:t>调控多晶型（</w:t>
      </w:r>
      <w:r>
        <w:rPr>
          <w:rFonts w:ascii="Times New Roman" w:hAnsi="Times New Roman" w:eastAsia="宋体"/>
          <w:b/>
          <w:sz w:val="24"/>
        </w:rPr>
        <w:t>J. Mater. Chem. A</w:t>
      </w:r>
      <w:r>
        <w:rPr>
          <w:rFonts w:ascii="Times New Roman" w:hAnsi="Times New Roman" w:eastAsia="宋体"/>
          <w:b w:val="0"/>
          <w:sz w:val="24"/>
        </w:rPr>
        <w:t xml:space="preserve"> 2026, </w:t>
      </w:r>
      <w:r>
        <w:rPr>
          <w:rFonts w:ascii="Times New Roman" w:hAnsi="Times New Roman" w:eastAsia="宋体"/>
          <w:b/>
          <w:sz w:val="24"/>
        </w:rPr>
        <w:t>14</w:t>
      </w:r>
      <w:r>
        <w:rPr>
          <w:rFonts w:ascii="Times New Roman" w:hAnsi="Times New Roman" w:eastAsia="宋体"/>
          <w:b w:val="0"/>
          <w:sz w:val="24"/>
        </w:rPr>
        <w:t>, 5087–5094）。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酸性 OER 的相选择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 w:val="0"/>
          <w:i/>
          <w:sz w:val="24"/>
        </w:rPr>
        <w:t>Polymorph γ-MnO₂ with Optimal Phase Composition for Stable OER in Acid</w:t>
      </w:r>
      <w:r>
        <w:rPr>
          <w:rFonts w:ascii="Times New Roman" w:hAnsi="Times New Roman" w:eastAsia="宋体"/>
          <w:b w:val="0"/>
          <w:sz w:val="24"/>
        </w:rPr>
        <w:t>（</w:t>
      </w:r>
      <w:r>
        <w:rPr>
          <w:rFonts w:ascii="Times New Roman" w:hAnsi="Times New Roman" w:eastAsia="宋体"/>
          <w:b/>
          <w:sz w:val="24"/>
        </w:rPr>
        <w:t>ACS Sustain. Chem. Eng.</w:t>
      </w:r>
      <w:r>
        <w:rPr>
          <w:rFonts w:ascii="Times New Roman" w:hAnsi="Times New Roman" w:eastAsia="宋体"/>
          <w:b w:val="0"/>
          <w:sz w:val="24"/>
        </w:rPr>
        <w:t xml:space="preserve"> 2024, </w:t>
      </w:r>
      <w:r>
        <w:rPr>
          <w:rFonts w:ascii="Times New Roman" w:hAnsi="Times New Roman" w:eastAsia="宋体"/>
          <w:b/>
          <w:sz w:val="24"/>
        </w:rPr>
        <w:t>12</w:t>
      </w:r>
      <w:r>
        <w:rPr>
          <w:rFonts w:ascii="Times New Roman" w:hAnsi="Times New Roman" w:eastAsia="宋体"/>
          <w:b w:val="0"/>
          <w:sz w:val="24"/>
        </w:rPr>
        <w:t xml:space="preserve">, 17613–17620）提示 </w:t>
      </w:r>
      <w:r>
        <w:rPr>
          <w:rFonts w:ascii="Times New Roman" w:hAnsi="Times New Roman" w:eastAsia="宋体"/>
          <w:b/>
          <w:sz w:val="24"/>
        </w:rPr>
        <w:t>γ-MnO₂ 在酸中兼具较优活性与稳定性</w:t>
      </w:r>
      <w:r>
        <w:rPr>
          <w:rFonts w:ascii="Times New Roman" w:hAnsi="Times New Roman" w:eastAsia="宋体"/>
          <w:b w:val="0"/>
          <w:sz w:val="24"/>
        </w:rPr>
        <w:t>；另有研究</w:t>
      </w:r>
      <w:r>
        <w:rPr>
          <w:rFonts w:ascii="Times New Roman" w:hAnsi="Times New Roman" w:eastAsia="宋体"/>
          <w:b/>
          <w:sz w:val="24"/>
        </w:rPr>
        <w:t>质疑是否真存在"稳定的 OER 电位区间"</w:t>
      </w:r>
      <w:r>
        <w:rPr>
          <w:rFonts w:ascii="Times New Roman" w:hAnsi="Times New Roman" w:eastAsia="宋体"/>
          <w:b w:val="0"/>
          <w:sz w:val="24"/>
        </w:rPr>
        <w:t>（ε-MnO₂, pH 1，见第〇节）。</w:t>
      </w:r>
    </w:p>
    <w:p/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未找到公开资料</w:t>
      </w:r>
      <w:r>
        <w:rPr>
          <w:rFonts w:ascii="Times New Roman" w:hAnsi="Times New Roman" w:eastAsia="宋体"/>
          <w:b w:val="0"/>
          <w:sz w:val="24"/>
        </w:rPr>
        <w:t>：把"电沉积电位/pH/温度"与"α-/γ-/δ-/ε-MnO₂ 相"对应、给出定量相图的</w:t>
      </w:r>
      <w:r>
        <w:rPr>
          <w:rFonts w:ascii="Times New Roman" w:hAnsi="Times New Roman" w:eastAsia="宋体"/>
          <w:b/>
          <w:sz w:val="24"/>
        </w:rPr>
        <w:t>专门综述</w:t>
      </w:r>
      <w:r>
        <w:rPr>
          <w:rFonts w:ascii="Times New Roman" w:hAnsi="Times New Roman" w:eastAsia="宋体"/>
          <w:b w:val="0"/>
          <w:sz w:val="24"/>
        </w:rPr>
        <w:t>未检索到（多数相控制文献面向超级电容器）。</w:t>
      </w:r>
      <w:r>
        <w:rPr>
          <w:rFonts w:ascii="Times New Roman" w:hAnsi="Times New Roman" w:eastAsia="宋体"/>
          <w:b/>
          <w:sz w:val="24"/>
        </w:rPr>
        <w:t>这可能是本课题可补齐的空白</w:t>
      </w:r>
      <w:r>
        <w:rPr>
          <w:rFonts w:ascii="Times New Roman" w:hAnsi="Times New Roman" w:eastAsia="宋体"/>
          <w:b w:val="0"/>
          <w:sz w:val="24"/>
        </w:rPr>
        <w:t>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可以提出的科学问题与假设（用于 pre 的"思考"部分）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Q1（生死线）</w:t>
      </w:r>
      <w:r>
        <w:rPr>
          <w:rFonts w:ascii="Times New Roman" w:hAnsi="Times New Roman" w:eastAsia="宋体"/>
          <w:b w:val="0"/>
          <w:sz w:val="24"/>
        </w:rPr>
        <w:t>：电沉积 MnO₂ 在酸性 OER 窗口内自身能稳定多久？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假设：稳定窗口 &lt;100 mV（约 1.50–1.55 V vs RHE，pH 1），</w:t>
      </w:r>
      <w:r>
        <w:rPr>
          <w:rFonts w:ascii="Times New Roman" w:hAnsi="Times New Roman" w:eastAsia="宋体"/>
          <w:b/>
          <w:sz w:val="24"/>
        </w:rPr>
        <w:t>单独用 MnO₂ 必然先于 Ru 失稳</w:t>
      </w:r>
      <w:r>
        <w:rPr>
          <w:rFonts w:ascii="Times New Roman" w:hAnsi="Times New Roman" w:eastAsia="宋体"/>
          <w:b w:val="0"/>
          <w:sz w:val="24"/>
        </w:rPr>
        <w:t>。检验：0.5 M H₂SO₄ 中纯电沉积 MnO₂ 的长时恒电流测试 + ICP-MS 测 Mn 溶出，并设空白基底对照。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Q2（机理）</w:t>
      </w:r>
      <w:r>
        <w:rPr>
          <w:rFonts w:ascii="Times New Roman" w:hAnsi="Times New Roman" w:eastAsia="宋体"/>
          <w:b w:val="0"/>
          <w:sz w:val="24"/>
        </w:rPr>
        <w:t>：Ru 稳定化的主导因素是"电子效应"还是"限域效应"？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 xml:space="preserve">假设：若 Mn 经 </w:t>
      </w:r>
      <w:r>
        <w:rPr>
          <w:rFonts w:ascii="Times New Roman" w:hAnsi="Times New Roman" w:eastAsia="宋体"/>
          <w:b/>
          <w:sz w:val="24"/>
        </w:rPr>
        <w:t>Ru–O–Mn 桥</w:t>
      </w:r>
      <w:r>
        <w:rPr>
          <w:rFonts w:ascii="Times New Roman" w:hAnsi="Times New Roman" w:eastAsia="宋体"/>
          <w:b w:val="0"/>
          <w:sz w:val="24"/>
        </w:rPr>
        <w:t>降低 Ru 电子密度、抑制其过氧化至高价位，则电子效应主导；若主要是物理钉扎提高溶解能垒，则限域效应主导。检验：对比（a）Ru 掺杂进 MnO₂ 晶格与（b）Ru 负载于 MnO₂ 表面两组的 Ru 溶解能与 S-number。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Q3（工艺）</w:t>
      </w:r>
      <w:r>
        <w:rPr>
          <w:rFonts w:ascii="Times New Roman" w:hAnsi="Times New Roman" w:eastAsia="宋体"/>
          <w:b w:val="0"/>
          <w:sz w:val="24"/>
        </w:rPr>
        <w:t>：电沉积参数能否定量调控 Ru–O–Mn 界面的"密度与构型"？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假设：沉积电位与浴液 pH 改变 MnO₂ 晶相与边缘位密度，从而改变可锚定 Ru 的位点数，体现为性能的系统变化。检验：</w:t>
      </w:r>
      <w:r>
        <w:rPr>
          <w:rFonts w:ascii="Times New Roman" w:hAnsi="Times New Roman" w:eastAsia="宋体"/>
          <w:b/>
          <w:sz w:val="24"/>
        </w:rPr>
        <w:t>电位 × pH 二维扫描</w:t>
      </w:r>
      <w:r>
        <w:rPr>
          <w:rFonts w:ascii="Times New Roman" w:hAnsi="Times New Roman" w:eastAsia="宋体"/>
          <w:b w:val="0"/>
          <w:sz w:val="24"/>
        </w:rPr>
        <w:t>，以 XRD/Raman 定相、XAS 的 Ru–O–Mn 配位数定量界面密度，再关联 OER 性能。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Q4（活性–稳定性权衡）</w:t>
      </w:r>
      <w:r>
        <w:rPr>
          <w:rFonts w:ascii="Times New Roman" w:hAnsi="Times New Roman" w:eastAsia="宋体"/>
          <w:b w:val="0"/>
          <w:sz w:val="24"/>
        </w:rPr>
        <w:t>：能否避免"稳定化必然牺牲活性"？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假设：由 Science 2025（P6）推论，</w:t>
      </w:r>
      <w:r>
        <w:rPr>
          <w:rFonts w:ascii="Times New Roman" w:hAnsi="Times New Roman" w:eastAsia="宋体"/>
          <w:b/>
          <w:sz w:val="24"/>
        </w:rPr>
        <w:t>降低过电位本身就能减少 Ru 过氧化</w:t>
      </w:r>
      <w:r>
        <w:rPr>
          <w:rFonts w:ascii="Times New Roman" w:hAnsi="Times New Roman" w:eastAsia="宋体"/>
          <w:b w:val="0"/>
          <w:sz w:val="24"/>
        </w:rPr>
        <w:t>；若 MnO₂ 的引入同时改善动力学，则可能两者</w:t>
      </w:r>
      <w:r>
        <w:rPr>
          <w:rFonts w:ascii="Times New Roman" w:hAnsi="Times New Roman" w:eastAsia="宋体"/>
          <w:b/>
          <w:sz w:val="24"/>
        </w:rPr>
        <w:t>同时</w:t>
      </w:r>
      <w:r>
        <w:rPr>
          <w:rFonts w:ascii="Times New Roman" w:hAnsi="Times New Roman" w:eastAsia="宋体"/>
          <w:b w:val="0"/>
          <w:sz w:val="24"/>
        </w:rPr>
        <w:t>提升（先例：JACS 2026 MnO₂ 纳米盾 η = 176 mV 且稳定 8800 h）。检验：比较 Ru/MnO₂ 与纯 Ru 的 Tafel 斜率、η@10 mA cm⁻² 与长时稳定性。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Q5（介质迁移）</w:t>
      </w:r>
      <w:r>
        <w:rPr>
          <w:rFonts w:ascii="Times New Roman" w:hAnsi="Times New Roman" w:eastAsia="宋体"/>
          <w:b w:val="0"/>
          <w:sz w:val="24"/>
        </w:rPr>
        <w:t>：Science 2025 中"可变价第二金属中心做电荷缓冲"的碱性机制，能否迁移到酸性？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假设：MnOₓ 中的 Mn³⁺/Mn⁴⁺ 可能扮演 POM 中 W 的角色，但</w:t>
      </w:r>
      <w:r>
        <w:rPr>
          <w:rFonts w:ascii="Times New Roman" w:hAnsi="Times New Roman" w:eastAsia="宋体"/>
          <w:b/>
          <w:sz w:val="24"/>
        </w:rPr>
        <w:t>酸性下 Mn 自身溶出会截断该机制</w:t>
      </w:r>
      <w:r>
        <w:rPr>
          <w:rFonts w:ascii="Times New Roman" w:hAnsi="Times New Roman" w:eastAsia="宋体"/>
          <w:b w:val="0"/>
          <w:sz w:val="24"/>
        </w:rPr>
        <w:t>。检验：变电位 XANES 追踪 Mn 价态可逆性（撤电位后是否复位）+ ICP-MS 追踪 Mn 溶出，判断"电荷缓冲"与"载体溶解"哪个先发生。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7. 给 pre 的三条行动建议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第一页就写风险</w:t>
      </w:r>
      <w:r>
        <w:rPr>
          <w:rFonts w:ascii="Times New Roman" w:hAnsi="Times New Roman" w:eastAsia="宋体"/>
          <w:b w:val="0"/>
          <w:sz w:val="24"/>
        </w:rPr>
        <w:t>：把电沉积 ε-MnO₂ 的稳定性结论（&lt;100 mV 窗口、OER 起始在窗口外）列为已知约束，并说明应对（如 Ru 替位掺杂进 MnO₂ 骨架，而非纯相包覆）。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主动处理新颖性重叠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 w:val="0"/>
          <w:i/>
          <w:sz w:val="24"/>
        </w:rPr>
        <w:t>Nat. Commun.</w:t>
      </w:r>
      <w:r>
        <w:rPr>
          <w:rFonts w:ascii="Times New Roman" w:hAnsi="Times New Roman" w:eastAsia="宋体"/>
          <w:b w:val="0"/>
          <w:sz w:val="24"/>
        </w:rPr>
        <w:t xml:space="preserve"> 2026, </w:t>
      </w:r>
      <w:r>
        <w:rPr>
          <w:rFonts w:ascii="Times New Roman" w:hAnsi="Times New Roman" w:eastAsia="宋体"/>
          <w:b/>
          <w:sz w:val="24"/>
        </w:rPr>
        <w:t>17</w:t>
      </w:r>
      <w:r>
        <w:rPr>
          <w:rFonts w:ascii="Times New Roman" w:hAnsi="Times New Roman" w:eastAsia="宋体"/>
          <w:b w:val="0"/>
          <w:sz w:val="24"/>
        </w:rPr>
        <w:t>, 7657 已在 β-MnO₂ 上实现 Ru–O–Mn 基元并给出 1000 h PEMWE 稳定性；</w:t>
      </w:r>
      <w:r>
        <w:rPr>
          <w:rFonts w:ascii="Times New Roman" w:hAnsi="Times New Roman" w:eastAsia="宋体"/>
          <w:b/>
          <w:sz w:val="24"/>
        </w:rPr>
        <w:t>JACS</w:t>
      </w:r>
      <w:r>
        <w:rPr>
          <w:rFonts w:ascii="Times New Roman" w:hAnsi="Times New Roman" w:eastAsia="宋体"/>
          <w:b w:val="0"/>
          <w:sz w:val="24"/>
        </w:rPr>
        <w:t xml:space="preserve"> 2026, </w:t>
      </w:r>
      <w:r>
        <w:rPr>
          <w:rFonts w:ascii="Times New Roman" w:hAnsi="Times New Roman" w:eastAsia="宋体"/>
          <w:b/>
          <w:sz w:val="24"/>
        </w:rPr>
        <w:t>148</w:t>
      </w:r>
      <w:r>
        <w:rPr>
          <w:rFonts w:ascii="Times New Roman" w:hAnsi="Times New Roman" w:eastAsia="宋体"/>
          <w:b w:val="0"/>
          <w:sz w:val="24"/>
        </w:rPr>
        <w:t xml:space="preserve">, 2693–2702 的 MnO₂ 纳米盾更做到 </w:t>
      </w:r>
      <w:r>
        <w:rPr>
          <w:rFonts w:ascii="Times New Roman" w:hAnsi="Times New Roman" w:eastAsia="宋体"/>
          <w:b/>
          <w:sz w:val="24"/>
        </w:rPr>
        <w:t>8800 h</w:t>
      </w:r>
      <w:r>
        <w:rPr>
          <w:rFonts w:ascii="Times New Roman" w:hAnsi="Times New Roman" w:eastAsia="宋体"/>
          <w:b w:val="0"/>
          <w:sz w:val="24"/>
        </w:rPr>
        <w:t>。</w:t>
      </w:r>
      <w:r>
        <w:rPr>
          <w:rFonts w:ascii="Times New Roman" w:hAnsi="Times New Roman" w:eastAsia="宋体"/>
          <w:b/>
          <w:sz w:val="24"/>
        </w:rPr>
        <w:t>必须引用并明确差异化</w:t>
      </w:r>
      <w:r>
        <w:rPr>
          <w:rFonts w:ascii="Times New Roman" w:hAnsi="Times New Roman" w:eastAsia="宋体"/>
          <w:b w:val="0"/>
          <w:sz w:val="24"/>
        </w:rPr>
        <w:t>——落在"电沉积工艺—界面构型"的可控性。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尽早锁定定量指标</w:t>
      </w:r>
      <w:r>
        <w:rPr>
          <w:rFonts w:ascii="Times New Roman" w:hAnsi="Times New Roman" w:eastAsia="宋体"/>
          <w:b w:val="0"/>
          <w:sz w:val="24"/>
        </w:rPr>
        <w:t>：酸性 η@10 mA cm⁻²、Tafel 斜率、</w:t>
      </w:r>
      <w:r>
        <w:rPr>
          <w:rFonts w:ascii="Times New Roman" w:hAnsi="Times New Roman" w:eastAsia="宋体"/>
          <w:b/>
          <w:sz w:val="24"/>
        </w:rPr>
        <w:t>ICP-MS 的 Ru 与 Mn 双元素溶出速率</w:t>
      </w:r>
      <w:r>
        <w:rPr>
          <w:rFonts w:ascii="Times New Roman" w:hAnsi="Times New Roman" w:eastAsia="宋体"/>
          <w:b w:val="0"/>
          <w:sz w:val="24"/>
        </w:rPr>
        <w:t>、</w:t>
      </w:r>
      <w:r>
        <w:rPr>
          <w:rFonts w:ascii="Times New Roman" w:hAnsi="Times New Roman" w:eastAsia="宋体"/>
          <w:b/>
          <w:sz w:val="24"/>
        </w:rPr>
        <w:t>S-number</w:t>
      </w:r>
      <w:r>
        <w:rPr>
          <w:rFonts w:ascii="Times New Roman" w:hAnsi="Times New Roman" w:eastAsia="宋体"/>
          <w:b w:val="0"/>
          <w:sz w:val="24"/>
        </w:rPr>
        <w:t>（DOI: 10.1038/s41929-018-0085-6）、恒流稳定时长。缺 Mn 溶出数据，论证不完整。</w:t>
      </w:r>
    </w:p>
    <w:p/>
    <w:p>
      <w:pPr>
        <w:spacing w:before="120" w:after="120"/>
        <w:pBdr>
          <w:bottom w:val="single" w:sz="6" w:color="CCCCCC"/>
        </w:pBdr>
      </w:pPr>
    </w:p>
    <w:p/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调研完 · 所有 DOI 经 Crossref 核验；未核实项已标注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yperlink" Target="https://doi.org/10.26434/chemrxiv-2025-w9lhv" TargetMode="External"/><Relationship Id="rId11" Type="http://schemas.openxmlformats.org/officeDocument/2006/relationships/hyperlink" Target="https://doi.org/10.1038/s41467-026-74540-9" TargetMode="External"/><Relationship Id="rId12" Type="http://schemas.openxmlformats.org/officeDocument/2006/relationships/hyperlink" Target="http://article.sapub.org/10.5923.j.materials.20201002.01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