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文献精读报告：Dynamic hydroxyl mediated charge buffering stabilizes high valence ruthenium edge sites for acidic water oxidation（动态羟基介导的电荷缓冲稳定高价钌边缘位点用于酸性水氧化）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：Tianqing Yan, Kang Xue, Shishi Zhang, Huayang Wang, Zhen-Feng Huang, Minhua Ai, Ruijie Gao, Chengxiang Shi, Wanliang Mi, Xiangwen Zhang, Lun Pan, Ji-Jun Zou（天津大学化工学院；通讯 Zhen-Feng Huang / Lun Pan / Ji-Jun Zou）｜Nature Communications 2026, 17, 7657（DOI 10.1038/s41467-026-74540-9）｜投稿 2026-01-26，接收 2026-06-09，在线 2026-06-17｜开放获取 CC BY-NC-ND 4.0｜正文 12 页｜精读日期 2026-09-18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证据分级</w:t>
      </w:r>
      <w:r>
        <w:rPr>
          <w:rFonts w:ascii="Times New Roman" w:hAnsi="Times New Roman" w:eastAsia="宋体"/>
          <w:b w:val="0"/>
          <w:sz w:val="24"/>
        </w:rPr>
        <w:t>：R0=原文事实（附页码锚点，页码 = PDF 页 = 文章页 1–12）｜R1=外部背景（另有可查来源）｜R2=推断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 xml:space="preserve">：本文用"β-MnO₂ 边缘位锚定孤立 Ru + 宿主表面羟基可逆去质子化（动态电荷缓冲）"同时解决 Ru 的活性–稳定性悖论，做到器件级 1 A cm⁻² &gt;1000 h，是"用 MnO₂ 稳定 Ru"目前最完整、最量化的公开证据。⚠️ </w:t>
      </w:r>
      <w:r>
        <w:rPr>
          <w:rFonts w:ascii="Times New Roman" w:hAnsi="Times New Roman" w:eastAsia="宋体"/>
          <w:b/>
          <w:sz w:val="24"/>
        </w:rPr>
        <w:t>其 Ru–O–Mn 界面不是电沉积做出来的</w:t>
      </w:r>
      <w:r>
        <w:rPr>
          <w:rFonts w:ascii="Times New Roman" w:hAnsi="Times New Roman" w:eastAsia="宋体"/>
          <w:b w:val="0"/>
          <w:sz w:val="24"/>
        </w:rPr>
        <w:t>（见 §2.2）。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问题设定（R0, p.1）</w:t>
      </w:r>
      <w:r>
        <w:rPr>
          <w:rFonts w:ascii="Times New Roman" w:hAnsi="Times New Roman" w:eastAsia="宋体"/>
          <w:b w:val="0"/>
          <w:sz w:val="24"/>
        </w:rPr>
        <w:t>：酸性 OER 的核心矛盾是"活性–稳定性悖论"——驱动高转换速率所必需的高价 Ru(&gt;IV)，本身就是快速溶解的前驱体。既有策略都有妥协：被动保护（合金化、惰性载体）只能静态屏蔽、抵不住活性位上氧化当量的动态累积；压低 Ru 价态换稳定性则丢失本征活性。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方案（R0, pp.1–2, 8）</w:t>
      </w:r>
      <w:r>
        <w:rPr>
          <w:rFonts w:ascii="Times New Roman" w:hAnsi="Times New Roman" w:eastAsia="宋体"/>
          <w:b w:val="0"/>
          <w:sz w:val="24"/>
        </w:rPr>
        <w:t>：主–客协同架构。孤立 Ru 锚定在耐酸 β-MnO₂ 的低配位</w:t>
      </w:r>
      <w:r>
        <w:rPr>
          <w:rFonts w:ascii="Times New Roman" w:hAnsi="Times New Roman" w:eastAsia="宋体"/>
          <w:b/>
          <w:sz w:val="24"/>
        </w:rPr>
        <w:t>边缘位</w:t>
      </w:r>
      <w:r>
        <w:rPr>
          <w:rFonts w:ascii="Times New Roman" w:hAnsi="Times New Roman" w:eastAsia="宋体"/>
          <w:b w:val="0"/>
          <w:sz w:val="24"/>
        </w:rPr>
        <w:t>，形成 Ru–O–Mn 边缘链。宿主双角色：静态上晶格限域并"预氧化"Ru 至高价；动态上</w:t>
      </w:r>
      <w:r>
        <w:rPr>
          <w:rFonts w:ascii="Times New Roman" w:hAnsi="Times New Roman" w:eastAsia="宋体"/>
          <w:b/>
          <w:sz w:val="24"/>
        </w:rPr>
        <w:t>宿主衍生表面羟基</w:t>
      </w:r>
      <w:r>
        <w:rPr>
          <w:rFonts w:ascii="Times New Roman" w:hAnsi="Times New Roman" w:eastAsia="宋体"/>
          <w:b w:val="0"/>
          <w:sz w:val="24"/>
        </w:rPr>
        <w:t>经可逆去质子化（M–OH → M=O + H⁺ + e⁻）吸收多余氧化电荷，同时优化中间体结合、促进氢键辅助的 O–O 耦合。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关键数字（均 R0）</w:t>
      </w:r>
      <w:r>
        <w:rPr>
          <w:rFonts w:ascii="Times New Roman" w:hAnsi="Times New Roman" w:eastAsia="宋体"/>
          <w:b w:val="0"/>
          <w:sz w:val="24"/>
        </w:rPr>
        <w:t xml:space="preserve">：η = 232 mV @10 mA cm⁻²（0.1 M HClO₄，p.4）；TOF 1.81 s⁻¹；质量活性 6858 A g_Ru⁻¹ @1.50 V vs RHE = 商业 RuO₂ 的 </w:t>
      </w:r>
      <w:r>
        <w:rPr>
          <w:rFonts w:ascii="Times New Roman" w:hAnsi="Times New Roman" w:eastAsia="宋体"/>
          <w:b/>
          <w:sz w:val="24"/>
        </w:rPr>
        <w:t>223 倍</w:t>
      </w:r>
      <w:r>
        <w:rPr>
          <w:rFonts w:ascii="Times New Roman" w:hAnsi="Times New Roman" w:eastAsia="宋体"/>
          <w:b w:val="0"/>
          <w:sz w:val="24"/>
        </w:rPr>
        <w:t xml:space="preserve">（p.4）；20 mA cm⁻² 计时电位 </w:t>
      </w:r>
      <w:r>
        <w:rPr>
          <w:rFonts w:ascii="Times New Roman" w:hAnsi="Times New Roman" w:eastAsia="宋体"/>
          <w:b/>
          <w:sz w:val="24"/>
        </w:rPr>
        <w:t>1750 h</w:t>
      </w:r>
      <w:r>
        <w:rPr>
          <w:rFonts w:ascii="Times New Roman" w:hAnsi="Times New Roman" w:eastAsia="宋体"/>
          <w:b w:val="0"/>
          <w:sz w:val="24"/>
        </w:rPr>
        <w:t xml:space="preserve"> 近无衰减（RuO₂ 70 h 内失效，p.4）；反应后溶出 </w:t>
      </w:r>
      <w:r>
        <w:rPr>
          <w:rFonts w:ascii="Times New Roman" w:hAnsi="Times New Roman" w:eastAsia="宋体"/>
          <w:b/>
          <w:sz w:val="24"/>
        </w:rPr>
        <w:t>Ru 0.43%、Mn 1.02%</w:t>
      </w:r>
      <w:r>
        <w:rPr>
          <w:rFonts w:ascii="Times New Roman" w:hAnsi="Times New Roman" w:eastAsia="宋体"/>
          <w:b w:val="0"/>
          <w:sz w:val="24"/>
        </w:rPr>
        <w:t>（p.4）；</w:t>
      </w:r>
      <w:r>
        <w:rPr>
          <w:rFonts w:ascii="Times New Roman" w:hAnsi="Times New Roman" w:eastAsia="宋体"/>
          <w:b/>
          <w:sz w:val="24"/>
        </w:rPr>
        <w:t>S-number 4.37×10⁸</w:t>
      </w:r>
      <w:r>
        <w:rPr>
          <w:rFonts w:ascii="Times New Roman" w:hAnsi="Times New Roman" w:eastAsia="宋体"/>
          <w:b w:val="0"/>
          <w:sz w:val="24"/>
        </w:rPr>
        <w:t xml:space="preserve">，高于 RuO₂ 三个数量级（p.4）；PEMWE 3 A cm⁻² @1.96 V、1 A cm⁻² </w:t>
      </w:r>
      <w:r>
        <w:rPr>
          <w:rFonts w:ascii="Times New Roman" w:hAnsi="Times New Roman" w:eastAsia="宋体"/>
          <w:b/>
          <w:sz w:val="24"/>
        </w:rPr>
        <w:t>&gt;1000 h</w:t>
      </w:r>
      <w:r>
        <w:rPr>
          <w:rFonts w:ascii="Times New Roman" w:hAnsi="Times New Roman" w:eastAsia="宋体"/>
          <w:b w:val="0"/>
          <w:sz w:val="24"/>
        </w:rPr>
        <w:t xml:space="preserve">、贵金属用量 </w:t>
      </w:r>
      <w:r>
        <w:rPr>
          <w:rFonts w:ascii="Times New Roman" w:hAnsi="Times New Roman" w:eastAsia="宋体"/>
          <w:b/>
          <w:sz w:val="24"/>
        </w:rPr>
        <w:t>−80%</w:t>
      </w:r>
      <w:r>
        <w:rPr>
          <w:rFonts w:ascii="Times New Roman" w:hAnsi="Times New Roman" w:eastAsia="宋体"/>
          <w:b w:val="0"/>
          <w:sz w:val="24"/>
        </w:rPr>
        <w:t>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方法学亮点（R0）</w:t>
      </w:r>
      <w:r>
        <w:rPr>
          <w:rFonts w:ascii="Times New Roman" w:hAnsi="Times New Roman" w:eastAsia="宋体"/>
          <w:b w:val="0"/>
          <w:sz w:val="24"/>
        </w:rPr>
        <w:t>：① 用表面 Pourbaix 图 + 阳离子电负性做两步 DFT 筛选宿主，材料选择由试错变为判据驱动（pp.2、6）；② 用同位素依赖 Tafel（H₂O 42 → D₂O 118 mV dec⁻¹）证明速控步为 CPET，并用"移去羟基"的对照计算把稳定性增益归因到羟基而非静态基序（pp.5、7）。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对毕设的价值</w:t>
      </w:r>
      <w:r>
        <w:rPr>
          <w:rFonts w:ascii="Times New Roman" w:hAnsi="Times New Roman" w:eastAsia="宋体"/>
          <w:b w:val="0"/>
          <w:sz w:val="24"/>
        </w:rPr>
        <w:t>：给出（a）可照搬的合成与表征配方、（b）完整的稳定性定量口径（S-number + 双元素溶解率）、（c）一条必须正面回应的结论——</w:t>
      </w:r>
      <w:r>
        <w:rPr>
          <w:rFonts w:ascii="Times New Roman" w:hAnsi="Times New Roman" w:eastAsia="宋体"/>
          <w:b/>
          <w:sz w:val="24"/>
        </w:rPr>
        <w:t>"静态 Ru–O–Mn 基序本身不足以提供观察到的稳定性"（R0, p.7）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课题关联分析（最核心）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重叠度：与"电沉积 MnO₂ 稳定 Ru"重叠度最高的公开文献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68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本课题拟主张</w:t>
            </w:r>
          </w:p>
        </w:tc>
        <w:tc>
          <w:tcPr>
            <w:tcW w:type="dxa" w:w="555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本文已给出的证据</w:t>
            </w:r>
          </w:p>
        </w:tc>
        <w:tc>
          <w:tcPr>
            <w:tcW w:type="dxa" w:w="12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MnO₂ 能稳定 Ru 的酸性 OER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1750 h @20 mA cm⁻²；S-number 4.37×10⁸；PEMWE 1 A cm⁻² &gt;1000 h（R0, p.4）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已证明，不再新颖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存在 Ru–O–Mn 界面耦合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Ru K-edge EXAFS：Ru–O–Mn 2.36 Å 主导，RuO₂ 的 Ru–O–Ru 3.1 Å </w:t>
            </w:r>
            <w:r>
              <w:rPr>
                <w:rFonts w:ascii="Times New Roman" w:hAnsi="Times New Roman" w:eastAsia="宋体"/>
                <w:b/>
                <w:sz w:val="24"/>
              </w:rPr>
              <w:t>消失</w:t>
            </w:r>
            <w:r>
              <w:rPr>
                <w:rFonts w:ascii="Times New Roman" w:hAnsi="Times New Roman" w:eastAsia="宋体"/>
                <w:b w:val="0"/>
                <w:sz w:val="24"/>
              </w:rPr>
              <w:t>（R0, p.3）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已证明，不再新颖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利用 Mn 的氧化还原性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 平均价态 +3.14（Mn 3s XPS，p.3）；Mn 2p 与 O 1s 随电位</w:t>
            </w:r>
            <w:r>
              <w:rPr>
                <w:rFonts w:ascii="Times New Roman" w:hAnsi="Times New Roman" w:eastAsia="宋体"/>
                <w:b/>
                <w:sz w:val="24"/>
              </w:rPr>
              <w:t>同步可逆位移</w:t>
            </w:r>
            <w:r>
              <w:rPr>
                <w:rFonts w:ascii="Times New Roman" w:hAnsi="Times New Roman" w:eastAsia="宋体"/>
                <w:b w:val="0"/>
                <w:sz w:val="24"/>
              </w:rPr>
              <w:t>（p.7）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已证明并已机制化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高价态是关键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K-edge 与 Ru 3p₃/₂ 结合能正移 ~0.9 eV（R0, p.3）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已证明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本文机制结论比"Mn 是电子储库"更细一层：缓冲功能的载体被定位在</w:t>
      </w:r>
      <w:r>
        <w:rPr>
          <w:rFonts w:ascii="Times New Roman" w:hAnsi="Times New Roman" w:eastAsia="宋体"/>
          <w:b/>
          <w:sz w:val="24"/>
        </w:rPr>
        <w:t>表面羟基</w:t>
      </w:r>
      <w:r>
        <w:rPr>
          <w:rFonts w:ascii="Times New Roman" w:hAnsi="Times New Roman" w:eastAsia="宋体"/>
          <w:b w:val="0"/>
          <w:sz w:val="24"/>
        </w:rPr>
        <w:t>上——移去羟基后溶解势垒从 2.78 eV 掉到 1.19 eV（R0, p.7）。</w:t>
      </w:r>
      <w:r>
        <w:rPr>
          <w:rFonts w:ascii="Times New Roman" w:hAnsi="Times New Roman" w:eastAsia="宋体"/>
          <w:b/>
          <w:sz w:val="24"/>
        </w:rPr>
        <w:t>这对课题标题的因果表述是直接挑战</w:t>
      </w:r>
      <w:r>
        <w:rPr>
          <w:rFonts w:ascii="Times New Roman" w:hAnsi="Times New Roman" w:eastAsia="宋体"/>
          <w:b w:val="0"/>
          <w:sz w:val="24"/>
        </w:rPr>
        <w:t>：若稳定性主要来自羟基覆盖度而非界面耦合本身，那"Ru–O–Mn 界面耦合稳定 Ru"不能单独作为创新点，必须补上"界面耦合如何决定羟基覆盖度"这一环（R2）。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本文与"电沉积"的真实关系——这就是课题的机会（全部 R0, p.8 Methods）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β-MnO₂ 粉体 = 水热法</w:t>
      </w:r>
      <w:r>
        <w:rPr>
          <w:rFonts w:ascii="Times New Roman" w:hAnsi="Times New Roman" w:eastAsia="宋体"/>
          <w:b w:val="0"/>
          <w:sz w:val="24"/>
        </w:rPr>
        <w:t>：MnSO₄·H₂O 1.69 g + (NH₄)₂S₂O₈ 2.28 g 溶于 80 mL 超纯水，搅拌 30 min 后转入聚四氟乙烯内衬不锈钢反应釜，</w:t>
      </w:r>
      <w:r>
        <w:rPr>
          <w:rFonts w:ascii="Times New Roman" w:hAnsi="Times New Roman" w:eastAsia="宋体"/>
          <w:b/>
          <w:sz w:val="24"/>
        </w:rPr>
        <w:t>140 °C / 12 h</w:t>
      </w:r>
      <w:r>
        <w:rPr>
          <w:rFonts w:ascii="Times New Roman" w:hAnsi="Times New Roman" w:eastAsia="宋体"/>
          <w:b w:val="0"/>
          <w:sz w:val="24"/>
        </w:rPr>
        <w:t>；离心，水与乙醇各洗三次，80 °C 干燥 6 h。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Ru_xMn_(1-x)O₂ = 改进的位点选择性离子交换法</w:t>
      </w:r>
      <w:r>
        <w:rPr>
          <w:rFonts w:ascii="Times New Roman" w:hAnsi="Times New Roman" w:eastAsia="宋体"/>
          <w:b w:val="0"/>
          <w:sz w:val="24"/>
        </w:rPr>
        <w:t>（原文注明方法引自其文献 25，即 Lin et al., Nat. Catal. 2021）：β-MnO₂ 粉体分散于设定浓度的 RuCl₃ 水溶液，</w:t>
      </w:r>
      <w:r>
        <w:rPr>
          <w:rFonts w:ascii="Times New Roman" w:hAnsi="Times New Roman" w:eastAsia="宋体"/>
          <w:b/>
          <w:sz w:val="24"/>
        </w:rPr>
        <w:t>60 °C 搅拌 24 h</w:t>
      </w:r>
      <w:r>
        <w:rPr>
          <w:rFonts w:ascii="Times New Roman" w:hAnsi="Times New Roman" w:eastAsia="宋体"/>
          <w:b w:val="0"/>
          <w:sz w:val="24"/>
        </w:rPr>
        <w:t>；离心洗涤、干燥后</w:t>
      </w:r>
      <w:r>
        <w:rPr>
          <w:rFonts w:ascii="Times New Roman" w:hAnsi="Times New Roman" w:eastAsia="宋体"/>
          <w:b/>
          <w:sz w:val="24"/>
        </w:rPr>
        <w:t>空气 200 °C 煅烧 1 h</w:t>
      </w:r>
      <w:r>
        <w:rPr>
          <w:rFonts w:ascii="Times New Roman" w:hAnsi="Times New Roman" w:eastAsia="宋体"/>
          <w:b w:val="0"/>
          <w:sz w:val="24"/>
        </w:rPr>
        <w:t>；x = 0.01/0.03/0.05/0.08 由 RuCl₃ 浓度控制。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电沉积确实出现，但只用于制备"自支撑 β-MnO₂ 电极"</w:t>
      </w:r>
      <w:r>
        <w:rPr>
          <w:rFonts w:ascii="Times New Roman" w:hAnsi="Times New Roman" w:eastAsia="宋体"/>
          <w:b w:val="0"/>
          <w:sz w:val="24"/>
        </w:rPr>
        <w:t>：在</w:t>
      </w:r>
      <w:r>
        <w:rPr>
          <w:rFonts w:ascii="Times New Roman" w:hAnsi="Times New Roman" w:eastAsia="宋体"/>
          <w:b/>
          <w:sz w:val="24"/>
        </w:rPr>
        <w:t>镀铂钛毡（Pt/Ti felt）</w:t>
      </w:r>
      <w:r>
        <w:rPr>
          <w:rFonts w:ascii="Times New Roman" w:hAnsi="Times New Roman" w:eastAsia="宋体"/>
          <w:b w:val="0"/>
          <w:sz w:val="24"/>
        </w:rPr>
        <w:t>上</w:t>
      </w:r>
      <w:r>
        <w:rPr>
          <w:rFonts w:ascii="Times New Roman" w:hAnsi="Times New Roman" w:eastAsia="宋体"/>
          <w:b/>
          <w:sz w:val="24"/>
        </w:rPr>
        <w:t>阳极电沉积</w:t>
      </w:r>
      <w:r>
        <w:rPr>
          <w:rFonts w:ascii="Times New Roman" w:hAnsi="Times New Roman" w:eastAsia="宋体"/>
          <w:b w:val="0"/>
          <w:sz w:val="24"/>
        </w:rPr>
        <w:t xml:space="preserve">，镀液 </w:t>
      </w:r>
      <w:r>
        <w:rPr>
          <w:rFonts w:ascii="Times New Roman" w:hAnsi="Times New Roman" w:eastAsia="宋体"/>
          <w:b/>
          <w:sz w:val="24"/>
        </w:rPr>
        <w:t>0.3 M MnSO₄ + 0.36 M H₂SO₄，94 °C，恒流 7 mA cm⁻² × 1 h</w:t>
      </w:r>
      <w:r>
        <w:rPr>
          <w:rFonts w:ascii="Times New Roman" w:hAnsi="Times New Roman" w:eastAsia="宋体"/>
          <w:b w:val="0"/>
          <w:sz w:val="24"/>
        </w:rPr>
        <w:t xml:space="preserve">，随后空气 </w:t>
      </w:r>
      <w:r>
        <w:rPr>
          <w:rFonts w:ascii="Times New Roman" w:hAnsi="Times New Roman" w:eastAsia="宋体"/>
          <w:b/>
          <w:sz w:val="24"/>
        </w:rPr>
        <w:t>450 °C 退火 5 h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结论：本文的 Ru–O–Mn 界面完全由"溶液离子交换（浸渍型）+ 低温煅烧"在粉体上形成；电沉积在本文中是"器件阳极的电极制备步骤"，不是"稳定 Ru 的手段"。</w:t>
      </w:r>
      <w:r>
        <w:rPr>
          <w:rFonts w:ascii="Times New Roman" w:hAnsi="Times New Roman" w:eastAsia="宋体"/>
          <w:b w:val="0"/>
          <w:sz w:val="24"/>
        </w:rPr>
        <w:t xml:space="preserve"> 本文 RDE 样是滴涂电极（5.0 mg 催化剂 + 1.0 mg 炭黑 + 700 μL 乙醇 + 270 μL 水 + 30 μL Nafion，超声 3 h，滴 10 μL，载量约 0.255 mg cm⁻²，p.9），并非电沉积电极。由此得差异化入口（R2）：</w:t>
      </w:r>
      <w:r>
        <w:rPr>
          <w:rFonts w:ascii="Times New Roman" w:hAnsi="Times New Roman" w:eastAsia="宋体"/>
          <w:b/>
          <w:sz w:val="24"/>
        </w:rPr>
        <w:t>把电沉积从"造电极"升级为"造界面"</w:t>
      </w:r>
      <w:r>
        <w:rPr>
          <w:rFonts w:ascii="Times New Roman" w:hAnsi="Times New Roman" w:eastAsia="宋体"/>
          <w:b w:val="0"/>
          <w:sz w:val="24"/>
        </w:rPr>
        <w:t>——用沉积电量、电流密度、电位、浴 pH 作为连续变量控制 MnO₂ 的相/形貌/边缘位密度，并把 Ru 引入方式（共沉积 / 顺序沉积 / 后浸渍）纳入同一工艺窗口。本文一条都没做：只用 β-MnO₂ 的 (110) 面（p.2），也只给一个最优 Ru 含量 x = 0.03。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本文未解决、可作课题立足点的问题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界面密度与构型不可主动调控</w:t>
      </w:r>
      <w:r>
        <w:rPr>
          <w:rFonts w:ascii="Times New Roman" w:hAnsi="Times New Roman" w:eastAsia="宋体"/>
          <w:b w:val="0"/>
          <w:sz w:val="24"/>
        </w:rPr>
        <w:t>：Ru 落位靠两个自发因素——边缘位替代形成能更低（0.63 eV vs 台面 1.78 eV，p.2）与 KPFM 测到的边缘更高局域表面电位对 Ru³⁺ 的静电吸引（pp.2–3）。这是自组织，非可设计。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只有一个 MnO₂ 相</w:t>
      </w:r>
      <w:r>
        <w:rPr>
          <w:rFonts w:ascii="Times New Roman" w:hAnsi="Times New Roman" w:eastAsia="宋体"/>
          <w:b w:val="0"/>
          <w:sz w:val="24"/>
        </w:rPr>
        <w:t>：全程围绕 β-MnO₂(110)（p.2），α/γ/δ 完全未比较。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Mn 溶出只有累积值</w:t>
      </w:r>
      <w:r>
        <w:rPr>
          <w:rFonts w:ascii="Times New Roman" w:hAnsi="Times New Roman" w:eastAsia="宋体"/>
          <w:b w:val="0"/>
          <w:sz w:val="24"/>
        </w:rPr>
        <w:t>：仅给 1750 h 后的 Mn 1.02%、Ru 0.43%（p.4），无溶出速率曲线、无 Mn/Ru 溶出比的时间演化；S-number 是积分量。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电位上限被观察到却未深挖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纯 β-MnO₂ 在 &gt;1.7 V vs RHE 出现 ~839 cm⁻¹ 的 MnO₄⁻ 拉曼峰，Ru₀.₀₃Mn₀.₉₇O₂ 全程无此峰</w:t>
      </w:r>
      <w:r>
        <w:rPr>
          <w:rFonts w:ascii="Times New Roman" w:hAnsi="Times New Roman" w:eastAsia="宋体"/>
          <w:b w:val="0"/>
          <w:sz w:val="24"/>
        </w:rPr>
        <w:t>（R0, p.5）。这既是"Mn 在酸中被过氧化为可溶 MnO₄⁻"的硬证据，也暗示 Ru 掺杂抬高了上限——作者未把它作为独立命题（R2）。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电解液是 0.1 M HClO₄（pH 1.0 ± 0.2），非 0.5 M H₂SO₄</w:t>
      </w:r>
      <w:r>
        <w:rPr>
          <w:rFonts w:ascii="Times New Roman" w:hAnsi="Times New Roman" w:eastAsia="宋体"/>
          <w:b w:val="0"/>
          <w:sz w:val="24"/>
        </w:rPr>
        <w:t>（p.9）；SO₄²⁻ 吸附会影响重构（R1: AEM 2023, p.9）。</w:t>
      </w:r>
      <w:r>
        <w:rPr>
          <w:rFonts w:ascii="Times New Roman" w:hAnsi="Times New Roman" w:eastAsia="宋体"/>
          <w:b/>
          <w:sz w:val="24"/>
        </w:rPr>
        <w:t>DFT 亦为热力学—静态模型</w:t>
      </w:r>
      <w:r>
        <w:rPr>
          <w:rFonts w:ascii="Times New Roman" w:hAnsi="Times New Roman" w:eastAsia="宋体"/>
          <w:b w:val="0"/>
          <w:sz w:val="24"/>
        </w:rPr>
        <w:t>，作者自认"may not fully capture operational conditions"（R0, p.2）。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内容深度解读（逐条标 R0 页码）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合成方法（R0, p.8）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见 §2.2 三条原文配方。两个要点：① β-MnO₂ 由 (NH₄)₂S₂O₈ 把 Mn²⁺ 氧化后水热晶化，属典型过硫酸盐氧化–水热路线；② 离子交换温度（60 °C）远低于水热温度（140 °C），作者借"边缘位不饱和金属位密度更高、反应性更强"实现位点选择（p.2）。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表征证据链（R0）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02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证据</w:t>
            </w:r>
          </w:p>
        </w:tc>
        <w:tc>
          <w:tcPr>
            <w:tcW w:type="dxa" w:w="696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关键数据</w:t>
            </w:r>
          </w:p>
        </w:tc>
        <w:tc>
          <w:tcPr>
            <w:tcW w:type="dxa" w:w="47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页码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XRD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纯 β-MnO₂ 相；(110) 峰系统向低角度偏移（Ru(IV) 取代 Mn(IV)）；最优样无分相 RuO₂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Raman / FT-IR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Mn–O 振动模系统位移，作为局域晶格畸变旁证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纳米棒，长 1.17 ± 0.2 μm、径 100 ± 30 nm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AC-HAADF-STEM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亮 Z 衬度点优先占低配位边缘位，形成原子级 Ru–O–Mn 边缘链；Ru–Ru 间距 2.9 / 3.4 Å 与宿主 Mn–Mn 周期一致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KPFM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边缘局域表面电位高于基面，静电吸引 Ru³⁺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pp.2–3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EXAFS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Ru–O–Mn 2.36 Å 主导；Ru–O–Ru 3.1 Å 缺失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XANES / XPS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K-edge 与 Ru 3p₃/₂ 正移 ~0.9 eV → 高价 Ru(&gt;IV)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 3s XPS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Mn 平均价态 </w:t>
            </w:r>
            <w:r>
              <w:rPr>
                <w:rFonts w:ascii="Times New Roman" w:hAnsi="Times New Roman" w:eastAsia="宋体"/>
                <w:b/>
                <w:sz w:val="24"/>
              </w:rPr>
              <w:t>+3.14</w:t>
            </w:r>
            <w:r>
              <w:rPr>
                <w:rFonts w:ascii="Times New Roman" w:hAnsi="Times New Roman" w:eastAsia="宋体"/>
                <w:b w:val="0"/>
                <w:sz w:val="24"/>
              </w:rPr>
              <w:t>；Mn(III) → 氧空位（Lewis 酸位）→ 触发水解离 → 自发锚定保护性羟基层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p.3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原位 / operando（R0）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16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手段</w:t>
            </w:r>
          </w:p>
        </w:tc>
        <w:tc>
          <w:tcPr>
            <w:tcW w:type="dxa" w:w="706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结果</w:t>
            </w:r>
          </w:p>
        </w:tc>
        <w:tc>
          <w:tcPr>
            <w:tcW w:type="dxa" w:w="23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页码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 situ Raman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668 cm⁻¹ 体相 M–O；575 cm⁻¹ 归属 Ru–O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（β-MnO₂ 无此峰，排除 Mn–O</w:t>
            </w:r>
            <w:r>
              <w:rPr>
                <w:rFonts w:ascii="Times New Roman" w:hAnsi="Times New Roman" w:eastAsia="宋体"/>
                <w:b w:val="0"/>
                <w:sz w:val="24"/>
              </w:rPr>
              <w:t>）；¹⁸O 标记红移至 542 cm⁻¹，D 标记不位移；</w:t>
            </w:r>
            <w:r>
              <w:rPr>
                <w:rFonts w:ascii="Times New Roman" w:hAnsi="Times New Roman" w:eastAsia="宋体"/>
                <w:b/>
                <w:sz w:val="24"/>
              </w:rPr>
              <w:t>β-MnO₂ 在 &gt;1.7 V 出现 ~839 cm⁻¹ MnO₄⁻，Ru₀.₀₃Mn₀.₉₇O₂ 全程无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p.5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 situ DEMS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¹⁸O 标记样上 ³⁴O₂/³⁶O₂ 可忽略 → 晶格氧不参与 → 机制为 AEM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p.5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同位素 Tafel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H₂O 42 → D₂O 118 mV dec⁻¹ → CPET 型速控步（可能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 xml:space="preserve">O + H₂O → </w:t>
            </w:r>
            <w:r>
              <w:rPr>
                <w:rFonts w:ascii="Times New Roman" w:hAnsi="Times New Roman" w:eastAsia="宋体"/>
                <w:b w:val="0"/>
                <w:sz w:val="24"/>
              </w:rPr>
              <w:t>OOH）；质子反应级数 0.68，1.46–1.50 V 区间 ρ_RHE 稳定 0.63–0.69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p.5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甲醇探针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MOR 电流更高、起始更早 → 界面 OH 覆盖度更高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p.5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 situ ATR-FTIR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1055/1065 cm⁻¹ 肩峰 → 氢键增强的 OOH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Quasi in situ XPS（真空转移）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3d 全程不变；Mn 2p 与 O 1s 同步正移且</w:t>
            </w:r>
            <w:r>
              <w:rPr>
                <w:rFonts w:ascii="Times New Roman" w:hAnsi="Times New Roman" w:eastAsia="宋体"/>
                <w:b/>
                <w:sz w:val="24"/>
              </w:rPr>
              <w:t>可逆复原</w:t>
            </w:r>
            <w:r>
              <w:rPr>
                <w:rFonts w:ascii="Times New Roman" w:hAnsi="Times New Roman" w:eastAsia="宋体"/>
                <w:b w:val="0"/>
                <w:sz w:val="24"/>
              </w:rPr>
              <w:t>；羟基 21.59%（OCP）→ 32.75%（1.3 V）→ 36.97%（1.5 V）→ 回 OCP 仍 36.31%；商业 RuO₂ 同条件出现</w:t>
            </w:r>
            <w:r>
              <w:rPr>
                <w:rFonts w:ascii="Times New Roman" w:hAnsi="Times New Roman" w:eastAsia="宋体"/>
                <w:b/>
                <w:sz w:val="24"/>
              </w:rPr>
              <w:t>不可逆</w:t>
            </w:r>
            <w:r>
              <w:rPr>
                <w:rFonts w:ascii="Times New Roman" w:hAnsi="Times New Roman" w:eastAsia="宋体"/>
                <w:b w:val="0"/>
                <w:sz w:val="24"/>
              </w:rPr>
              <w:t>正移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p.7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DFT（R0）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筛选链</w:t>
      </w:r>
      <w:r>
        <w:rPr>
          <w:rFonts w:ascii="Times New Roman" w:hAnsi="Times New Roman" w:eastAsia="宋体"/>
          <w:b w:val="0"/>
          <w:sz w:val="24"/>
        </w:rPr>
        <w:t>：比较同构金红石相 TiO₂、SnO₂、β-MnO₂ 的 (110) 面。表面 Pourbaix 图：RuO₂ 在 1.20–1.70 V 只有静态去质子化表面（1/2 μ₁-O），无缓冲能力；三候选均保持羟基化表面，</w:t>
      </w:r>
      <w:r>
        <w:rPr>
          <w:rFonts w:ascii="Times New Roman" w:hAnsi="Times New Roman" w:eastAsia="宋体"/>
          <w:b/>
          <w:sz w:val="24"/>
        </w:rPr>
        <w:t>β-MnO₂ 低至 1.32 V 即启动两步去质子化</w:t>
      </w:r>
      <w:r>
        <w:rPr>
          <w:rFonts w:ascii="Times New Roman" w:hAnsi="Times New Roman" w:eastAsia="宋体"/>
          <w:b w:val="0"/>
          <w:sz w:val="24"/>
        </w:rPr>
        <w:t xml:space="preserve">（p.2）。电负性判据 Mn⁴⁺ 1.92 &gt; Ru⁴⁺ 1.84，Mn 从 Ru 抽电子；Bader 电荷：嵌入 β-MnO₂ 的 Ru 为 </w:t>
      </w:r>
      <w:r>
        <w:rPr>
          <w:rFonts w:ascii="Times New Roman" w:hAnsi="Times New Roman" w:eastAsia="宋体"/>
          <w:b/>
          <w:sz w:val="24"/>
        </w:rPr>
        <w:t>+1.89 |e|</w:t>
      </w:r>
      <w:r>
        <w:rPr>
          <w:rFonts w:ascii="Times New Roman" w:hAnsi="Times New Roman" w:eastAsia="宋体"/>
          <w:b w:val="0"/>
          <w:sz w:val="24"/>
        </w:rPr>
        <w:t>（块体 RuO₂ 中 +1.79 |e|）（p.2）。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位点与稳定性</w:t>
      </w:r>
      <w:r>
        <w:rPr>
          <w:rFonts w:ascii="Times New Roman" w:hAnsi="Times New Roman" w:eastAsia="宋体"/>
          <w:b w:val="0"/>
          <w:sz w:val="24"/>
        </w:rPr>
        <w:t xml:space="preserve">：边缘位替代形成能 0.63 eV、台面位 1.78 eV（p.2）；边缘 Mn 空位形成能 7.44 eV，但一个 Ru 已替代后相邻 Mn 移除能降至 5.03 eV，为沿边缘连续掺入提供驱动力（p.2）；Ru 溶解能 </w:t>
      </w:r>
      <w:r>
        <w:rPr>
          <w:rFonts w:ascii="Times New Roman" w:hAnsi="Times New Roman" w:eastAsia="宋体"/>
          <w:b/>
          <w:sz w:val="24"/>
        </w:rPr>
        <w:t>2.06 eV</w:t>
      </w:r>
      <w:r>
        <w:rPr>
          <w:rFonts w:ascii="Times New Roman" w:hAnsi="Times New Roman" w:eastAsia="宋体"/>
          <w:b w:val="0"/>
          <w:sz w:val="24"/>
        </w:rPr>
        <w:t xml:space="preserve"> &gt; RuO₂(110) 的 </w:t>
      </w:r>
      <w:r>
        <w:rPr>
          <w:rFonts w:ascii="Times New Roman" w:hAnsi="Times New Roman" w:eastAsia="宋体"/>
          <w:b/>
          <w:sz w:val="24"/>
        </w:rPr>
        <w:t>1.67 eV</w:t>
      </w:r>
      <w:r>
        <w:rPr>
          <w:rFonts w:ascii="Times New Roman" w:hAnsi="Times New Roman" w:eastAsia="宋体"/>
          <w:b w:val="0"/>
          <w:sz w:val="24"/>
        </w:rPr>
        <w:t>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机制与活性上限</w:t>
      </w:r>
      <w:r>
        <w:rPr>
          <w:rFonts w:ascii="Times New Roman" w:hAnsi="Times New Roman" w:eastAsia="宋体"/>
          <w:b w:val="0"/>
          <w:sz w:val="24"/>
        </w:rPr>
        <w:t xml:space="preserve">：羟基富集终止面（1/2 μ₁-O + 1/6 μ₂-OH）在 OER 条件下最优（p.6）；各面都遵循 ΔG_OOH = ΔG_OH + </w:t>
      </w:r>
      <w:r>
        <w:rPr>
          <w:rFonts w:ascii="Times New Roman" w:hAnsi="Times New Roman" w:eastAsia="宋体"/>
          <w:b/>
          <w:sz w:val="24"/>
        </w:rPr>
        <w:t>2.9 eV</w:t>
      </w:r>
      <w:r>
        <w:rPr>
          <w:rFonts w:ascii="Times New Roman" w:hAnsi="Times New Roman" w:eastAsia="宋体"/>
          <w:b w:val="0"/>
          <w:sz w:val="24"/>
        </w:rPr>
        <w:t xml:space="preserve">，低于常规普适值 ~3.2 eV；固定截距后活性由 O 结合强度主导，富羟基终止把理论过电位压到 </w:t>
      </w:r>
      <w:r>
        <w:rPr>
          <w:rFonts w:ascii="Times New Roman" w:hAnsi="Times New Roman" w:eastAsia="宋体"/>
          <w:b/>
          <w:sz w:val="24"/>
        </w:rPr>
        <w:t>0.25 V</w:t>
      </w:r>
      <w:r>
        <w:rPr>
          <w:rFonts w:ascii="Times New Roman" w:hAnsi="Times New Roman" w:eastAsia="宋体"/>
          <w:b w:val="0"/>
          <w:sz w:val="24"/>
        </w:rPr>
        <w:t xml:space="preserve">，去羟基升至 </w:t>
      </w:r>
      <w:r>
        <w:rPr>
          <w:rFonts w:ascii="Times New Roman" w:hAnsi="Times New Roman" w:eastAsia="宋体"/>
          <w:b/>
          <w:sz w:val="24"/>
        </w:rPr>
        <w:t>0.52 V</w:t>
      </w:r>
      <w:r>
        <w:rPr>
          <w:rFonts w:ascii="Times New Roman" w:hAnsi="Times New Roman" w:eastAsia="宋体"/>
          <w:b w:val="0"/>
          <w:sz w:val="24"/>
        </w:rPr>
        <w:t xml:space="preserve">，RuO₂ 为 </w:t>
      </w:r>
      <w:r>
        <w:rPr>
          <w:rFonts w:ascii="Times New Roman" w:hAnsi="Times New Roman" w:eastAsia="宋体"/>
          <w:b/>
          <w:sz w:val="24"/>
        </w:rPr>
        <w:t>0.68 V</w:t>
      </w:r>
      <w:r>
        <w:rPr>
          <w:rFonts w:ascii="Times New Roman" w:hAnsi="Times New Roman" w:eastAsia="宋体"/>
          <w:b w:val="0"/>
          <w:sz w:val="24"/>
        </w:rPr>
        <w:t>，OPM 路径 0.57–0.71 V（p.6）。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溶解势垒</w:t>
      </w:r>
      <w:r>
        <w:rPr>
          <w:rFonts w:ascii="Times New Roman" w:hAnsi="Times New Roman" w:eastAsia="宋体"/>
          <w:b w:val="0"/>
          <w:sz w:val="24"/>
        </w:rPr>
        <w:t xml:space="preserve">：速控步为非电化学的局部 RuO₆ 八面体重构。势垒：商业 RuO₂ </w:t>
      </w:r>
      <w:r>
        <w:rPr>
          <w:rFonts w:ascii="Times New Roman" w:hAnsi="Times New Roman" w:eastAsia="宋体"/>
          <w:b/>
          <w:sz w:val="24"/>
        </w:rPr>
        <w:t>1.28 eV</w:t>
      </w:r>
      <w:r>
        <w:rPr>
          <w:rFonts w:ascii="Times New Roman" w:hAnsi="Times New Roman" w:eastAsia="宋体"/>
          <w:b w:val="0"/>
          <w:sz w:val="24"/>
        </w:rPr>
        <w:t xml:space="preserve">；羟基化 Ru₀.₀₃Mn₀.₉₇O₂ </w:t>
      </w:r>
      <w:r>
        <w:rPr>
          <w:rFonts w:ascii="Times New Roman" w:hAnsi="Times New Roman" w:eastAsia="宋体"/>
          <w:b/>
          <w:sz w:val="24"/>
        </w:rPr>
        <w:t>2.78 eV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>移去表面羟基的对照模型仅 1.19 eV</w:t>
      </w:r>
      <w:r>
        <w:rPr>
          <w:rFonts w:ascii="Times New Roman" w:hAnsi="Times New Roman" w:eastAsia="宋体"/>
          <w:b w:val="0"/>
          <w:sz w:val="24"/>
        </w:rPr>
        <w:t>（p.7）。原文另表述为"高出其无羟基对应物 1.04 eV"，与 2.78 → 1.19 的差值 1.59 eV 不一致，</w:t>
      </w:r>
      <w:r>
        <w:rPr>
          <w:rFonts w:ascii="Times New Roman" w:hAnsi="Times New Roman" w:eastAsia="宋体"/>
          <w:b/>
          <w:sz w:val="24"/>
        </w:rPr>
        <w:t>此处数值表述有歧义，须查 Fig. S42 核实 → 标"待确认"</w:t>
      </w:r>
      <w:r>
        <w:rPr>
          <w:rFonts w:ascii="Times New Roman" w:hAnsi="Times New Roman" w:eastAsia="宋体"/>
          <w:b w:val="0"/>
          <w:sz w:val="24"/>
        </w:rPr>
        <w:t>（R0 原文、R2 推断）。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3.5 性能、稳定性与机理（R0, pp.4–5, 9）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条件：0.1 M HClO₄、GC-RDE 0.196 cm²、SCE（E vs RHE = E vs SCE + 0.305 V）、5 mV s⁻¹、1600 rpm、25 °C、95% iR 补偿（Rs = 22.5 ± 0.52 Ω）。η = 232 mV @10 mA cm⁻²；TOF 1.81 s⁻¹；质量活性 6858 A g_Ru⁻¹ @1.50 V（223× RuO₂）；RRDE 定量法拉第效率确认阳极电流几乎全来自析氧；炭黑贡献可忽略。稳定性：Ti felt 上 20 mA cm⁻² 计时电位 </w:t>
      </w:r>
      <w:r>
        <w:rPr>
          <w:rFonts w:ascii="Times New Roman" w:hAnsi="Times New Roman" w:eastAsia="宋体"/>
          <w:b/>
          <w:sz w:val="24"/>
        </w:rPr>
        <w:t>1750 h</w:t>
      </w:r>
      <w:r>
        <w:rPr>
          <w:rFonts w:ascii="Times New Roman" w:hAnsi="Times New Roman" w:eastAsia="宋体"/>
          <w:b w:val="0"/>
          <w:sz w:val="24"/>
        </w:rPr>
        <w:t xml:space="preserve"> 近无衰减（RuO₂ 70 h 内失效），反应后 AC-HAADF-STEM 显示边缘链完好；ICP-OES 定溶出 Ru </w:t>
      </w:r>
      <w:r>
        <w:rPr>
          <w:rFonts w:ascii="Times New Roman" w:hAnsi="Times New Roman" w:eastAsia="宋体"/>
          <w:b/>
          <w:sz w:val="24"/>
        </w:rPr>
        <w:t>0.43%</w:t>
      </w:r>
      <w:r>
        <w:rPr>
          <w:rFonts w:ascii="Times New Roman" w:hAnsi="Times New Roman" w:eastAsia="宋体"/>
          <w:b w:val="0"/>
          <w:sz w:val="24"/>
        </w:rPr>
        <w:t xml:space="preserve">、Mn </w:t>
      </w:r>
      <w:r>
        <w:rPr>
          <w:rFonts w:ascii="Times New Roman" w:hAnsi="Times New Roman" w:eastAsia="宋体"/>
          <w:b/>
          <w:sz w:val="24"/>
        </w:rPr>
        <w:t>1.02%</w:t>
      </w:r>
      <w:r>
        <w:rPr>
          <w:rFonts w:ascii="Times New Roman" w:hAnsi="Times New Roman" w:eastAsia="宋体"/>
          <w:b w:val="0"/>
          <w:sz w:val="24"/>
        </w:rPr>
        <w:t xml:space="preserve">；S-number = n(O₂)/n(溶解金属) = </w:t>
      </w:r>
      <w:r>
        <w:rPr>
          <w:rFonts w:ascii="Times New Roman" w:hAnsi="Times New Roman" w:eastAsia="宋体"/>
          <w:b/>
          <w:sz w:val="24"/>
        </w:rPr>
        <w:t>4.37×10⁸</w:t>
      </w:r>
      <w:r>
        <w:rPr>
          <w:rFonts w:ascii="Times New Roman" w:hAnsi="Times New Roman" w:eastAsia="宋体"/>
          <w:b w:val="0"/>
          <w:sz w:val="24"/>
        </w:rPr>
        <w:t xml:space="preserve">。器件：CCS 法 MEA，Nafion 115（130 μm），阳极为自支撑 Ru₀.₀₃Mn₀.₉₇O₂，阴极 40% Pt/C 0.5 mg cm⁻²，1.2 MPa / 110 °C 压合，80 °C 测试；3 A cm⁻² @1.96 V，1 A cm⁻² </w:t>
      </w:r>
      <w:r>
        <w:rPr>
          <w:rFonts w:ascii="Times New Roman" w:hAnsi="Times New Roman" w:eastAsia="宋体"/>
          <w:b/>
          <w:sz w:val="24"/>
        </w:rPr>
        <w:t>&gt;1000 h</w:t>
      </w:r>
      <w:r>
        <w:rPr>
          <w:rFonts w:ascii="Times New Roman" w:hAnsi="Times New Roman" w:eastAsia="宋体"/>
          <w:b w:val="0"/>
          <w:sz w:val="24"/>
        </w:rPr>
        <w:t xml:space="preserve"> 无明显电压上升。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机理（R0）</w:t>
      </w:r>
      <w:r>
        <w:rPr>
          <w:rFonts w:ascii="Times New Roman" w:hAnsi="Times New Roman" w:eastAsia="宋体"/>
          <w:b w:val="0"/>
          <w:sz w:val="24"/>
        </w:rPr>
        <w:t xml:space="preserve">：活性侧——宿主羟基经氢键稳定 </w:t>
      </w:r>
      <w:r>
        <w:rPr>
          <w:rFonts w:ascii="Times New Roman" w:hAnsi="Times New Roman" w:eastAsia="宋体"/>
          <w:b w:val="0"/>
          <w:i/>
          <w:sz w:val="24"/>
        </w:rPr>
        <w:t xml:space="preserve">OOH、把 </w:t>
      </w:r>
      <w:r>
        <w:rPr>
          <w:rFonts w:ascii="Times New Roman" w:hAnsi="Times New Roman" w:eastAsia="宋体"/>
          <w:b w:val="0"/>
          <w:sz w:val="24"/>
        </w:rPr>
        <w:t>O 结合能调至 Sabatier 最优，突破标度关系；稳定性侧——Mn 宿主经"Mn 位点自适应价态变化 + 宿主羟基动态去质子化"双通道吸收氧化电荷，把 Ru 屏蔽在过氧化之外，并限制 RuO₆ 重构自由度、抬高可溶 RuO₄ 释放势垒。</w:t>
      </w:r>
      <w:r>
        <w:rPr>
          <w:rFonts w:ascii="Times New Roman" w:hAnsi="Times New Roman" w:eastAsia="宋体"/>
          <w:b/>
          <w:sz w:val="24"/>
        </w:rPr>
        <w:t>作者结论：静态 Ru–O–Mn 基序单独不足以提供稳定性，动态电荷缓冲才是关键（p.7）。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电沉积 MnO₂ 的相与晶面控制难</w:t>
      </w:r>
      <w:r>
        <w:rPr>
          <w:rFonts w:ascii="Times New Roman" w:hAnsi="Times New Roman" w:eastAsia="宋体"/>
          <w:b w:val="0"/>
          <w:sz w:val="24"/>
        </w:rPr>
        <w:t>（R2）：本文用水热 β-MnO₂ 的热力学稳定 (110) 面；电沉积低温下常给 γ-、δ-MnO₂ 或混合相，边缘位密度与暴露晶面比不同，DFT 结论不能直接迁移。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"位点选择性"来源不同</w:t>
      </w:r>
      <w:r>
        <w:rPr>
          <w:rFonts w:ascii="Times New Roman" w:hAnsi="Times New Roman" w:eastAsia="宋体"/>
          <w:b w:val="0"/>
          <w:sz w:val="24"/>
        </w:rPr>
        <w:t>（R2）：本文来自边缘位低形成能 + KPFM 高局域电位；电沉积电极的表面电场由基底形貌控制，能否复现"Ru 优先占边缘"须重新验证。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Mn 溶出的定量门槛高</w:t>
      </w:r>
      <w:r>
        <w:rPr>
          <w:rFonts w:ascii="Times New Roman" w:hAnsi="Times New Roman" w:eastAsia="宋体"/>
          <w:b w:val="0"/>
          <w:sz w:val="24"/>
        </w:rPr>
        <w:t>（R0, p.9）：需 ICP-OES 在 ppb 级定量；S-number 还要同时定量 O₂（RRDE 收集系数 ~0.2）。缺 ICP 则报不出 S-number。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电位窗口是硬约束</w:t>
      </w:r>
      <w:r>
        <w:rPr>
          <w:rFonts w:ascii="Times New Roman" w:hAnsi="Times New Roman" w:eastAsia="宋体"/>
          <w:b w:val="0"/>
          <w:sz w:val="24"/>
        </w:rPr>
        <w:t>（R0, p.5）：纯 β-MnO₂ 在 &gt;1.7 V 生成可溶 MnO₄⁻，工业电流密度下阳极电位很可能越界。本文靠 Ru 掺杂"看起来"绕过（全程无 MnO₄⁻ 峰），机理未单独证明。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羟基覆盖度原位定量的设备门槛</w:t>
      </w:r>
      <w:r>
        <w:rPr>
          <w:rFonts w:ascii="Times New Roman" w:hAnsi="Times New Roman" w:eastAsia="宋体"/>
          <w:b w:val="0"/>
          <w:sz w:val="24"/>
        </w:rPr>
        <w:t>（R0, p.9）：quasi in situ XPS 需电化学反应池与真空转移杆联动，一般实验室不具备。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电解液口径不一致</w:t>
      </w:r>
      <w:r>
        <w:rPr>
          <w:rFonts w:ascii="Times New Roman" w:hAnsi="Times New Roman" w:eastAsia="宋体"/>
          <w:b w:val="0"/>
          <w:sz w:val="24"/>
        </w:rPr>
        <w:t>（R0, p.9 vs R1）：本文 0.1 M HClO₄，JACS 2026 先例用 0.5 M H₂SO₄；SO₄²⁻ 吸附促进重构（R1: AEM 2023, p.9），跨体系比较须说明。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文献内部数值不自洽</w:t>
      </w:r>
      <w:r>
        <w:rPr>
          <w:rFonts w:ascii="Times New Roman" w:hAnsi="Times New Roman" w:eastAsia="宋体"/>
          <w:b w:val="0"/>
          <w:sz w:val="24"/>
        </w:rPr>
        <w:t>（R0, p.7）：溶解势垒"高出 1.04 eV"与 2.78/1.19 eV 矛盾，引用须谨慎。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合成（R0, p.8）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电沉积起点配方可直接照搬：</w:t>
      </w:r>
      <w:r>
        <w:rPr>
          <w:rFonts w:ascii="Times New Roman" w:hAnsi="Times New Roman" w:eastAsia="宋体"/>
          <w:b/>
          <w:sz w:val="24"/>
        </w:rPr>
        <w:t>0.3 M MnSO₄ + 0.36 M H₂SO₄、94 °C、恒流 7 mA cm⁻²、1 h、空气 450 °C 退火 5 h、基底 Pt/Ti felt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非电沉积对照条件：</w:t>
      </w:r>
      <w:r>
        <w:rPr>
          <w:rFonts w:ascii="Times New Roman" w:hAnsi="Times New Roman" w:eastAsia="宋体"/>
          <w:b/>
          <w:sz w:val="24"/>
        </w:rPr>
        <w:t>RuCl₃ 水溶液、60 °C、24 h、空气 200 °C 煅烧 1 h</w:t>
      </w:r>
      <w:r>
        <w:rPr>
          <w:rFonts w:ascii="Times New Roman" w:hAnsi="Times New Roman" w:eastAsia="宋体"/>
          <w:b w:val="0"/>
          <w:sz w:val="24"/>
        </w:rPr>
        <w:t>；Ru 含量用浓度梯度（x = 0.01/0.03/0.05/0.08）。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基底与器件（R0, p.9）：稳定性测试用 Ti felt；PEMWE 阳极用 Pt/Ti felt 自支撑电极；MEA 用 CCS 法 + Nafion 115，110 °C / 1.2 MPa 压合，80 °C 测试。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表征（R0, pp.2–3, 9）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界面成立的硬判据</w:t>
      </w:r>
      <w:r>
        <w:rPr>
          <w:rFonts w:ascii="Times New Roman" w:hAnsi="Times New Roman" w:eastAsia="宋体"/>
          <w:b w:val="0"/>
          <w:sz w:val="24"/>
        </w:rPr>
        <w:t>：EXAFS 拟合出 Ru–O–Mn ~2.36 Å 且 Ru–O–Ru（3.1 Å）消失——应作为"界面成立"的主判据，而非只靠 XPS。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高价 Ru 判据：Ru K-edge / Ru 3p₃/₂ 正移 ~0.9 eV；Mn 价态判据：</w:t>
      </w:r>
      <w:r>
        <w:rPr>
          <w:rFonts w:ascii="Times New Roman" w:hAnsi="Times New Roman" w:eastAsia="宋体"/>
          <w:b/>
          <w:sz w:val="24"/>
        </w:rPr>
        <w:t>Mn 3s XPS 多重分裂</w:t>
      </w:r>
      <w:r>
        <w:rPr>
          <w:rFonts w:ascii="Times New Roman" w:hAnsi="Times New Roman" w:eastAsia="宋体"/>
          <w:b w:val="0"/>
          <w:sz w:val="24"/>
        </w:rPr>
        <w:t>定平均价态。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现场手段：in situ Raman（¹⁸O 与 D 标记做峰位移排除；同时监听 ~839 cm⁻¹ 的 MnO₄⁻ 作 Mn 过氧化报警峰）、in situ DEMS（¹⁸O 判断晶格氧是否参与）、ATR-FTIR（1055/1065 cm⁻¹）、甲醇探针（表面 OH 覆盖度）、同位素依赖 Tafel（H₂O vs D₂O）、质子反应级数。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方法学细节：XAFS 用 ATHENA/IFEFFIT，k³ 权重，k 范围 3–12.6 Å⁻¹，Hanning 窗 dk = 1.0 Å；Ru K-edge 送 SSLS、Mn K-edge 送 SSRF BL11B。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电化学与稳定性协议（R0, pp.4–5, 9）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三电极参数：0.1 M HClO₄（pH 1.0 ± 0.2）、GC-RDE 0.196 cm²、SCE（+0.305 V 换算）、5 mV s⁻¹、1600 rpm、25 °C、95% iR 补偿；EIS 在 10⁵–10⁻¹ Hz 取高频截距得 Rs。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墨液与载量（可直抄）：5.0 mg 催化剂 + 1.0 mg 炭黑 + 700 μL 乙醇 + 270 μL 水 + 30 μL Nafion，超声 3 h，滴 10 μL → 约 0.255 mg cm⁻²。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ECSA：双电层电容法，20/40/60/80/100 mV s⁻¹，Cs = 0.06 mF cm⁻²；TOF 按"全部 Ru 均为活性位"算下限。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稳定性口径</w:t>
      </w:r>
      <w:r>
        <w:rPr>
          <w:rFonts w:ascii="Times New Roman" w:hAnsi="Times New Roman" w:eastAsia="宋体"/>
          <w:b w:val="0"/>
          <w:sz w:val="24"/>
        </w:rPr>
        <w:t>：Ti felt 上 20 mA cm⁻² 计时电位 + ICP-OES 定溶解金属总量 → S-number = n(O₂)/n(溶解金属)（式 4，p.9）。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加分对照</w:t>
      </w:r>
      <w:r>
        <w:rPr>
          <w:rFonts w:ascii="Times New Roman" w:hAnsi="Times New Roman" w:eastAsia="宋体"/>
          <w:b w:val="0"/>
          <w:sz w:val="24"/>
        </w:rPr>
        <w:t>：本文另做了"炭黑贡献可忽略"对照并同时给出未 iR 校正曲线（p.4），建议一并复制以应对质疑。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DFT（R0, p.10）</w:t>
      </w:r>
      <w:r>
        <w:rPr>
          <w:rFonts w:ascii="Times New Roman" w:hAnsi="Times New Roman" w:eastAsia="宋体"/>
          <w:b w:val="0"/>
          <w:sz w:val="24"/>
        </w:rPr>
        <w:t>：VASP + PAW + RPBE，截断 500 eV，DFT+U（Mn 3d 3.9 eV、Ru 4d 1.2 eV），3×3×1 k 点，力收敛 0.02 eV Å⁻¹，DFT-D3(BJ)。</w:t>
      </w:r>
      <w:r>
        <w:rPr>
          <w:rFonts w:ascii="Times New Roman" w:hAnsi="Times New Roman" w:eastAsia="宋体"/>
          <w:b/>
          <w:sz w:val="24"/>
        </w:rPr>
        <w:t>"用表面 Pourbaix 图筛选宿主"最值得学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"Mn 的氧化还原性"应重新定义为"羟基缓冲容量"（R2）</w:t>
      </w:r>
      <w:r>
        <w:rPr>
          <w:rFonts w:ascii="Times New Roman" w:hAnsi="Times New Roman" w:eastAsia="宋体"/>
          <w:b w:val="0"/>
          <w:sz w:val="24"/>
        </w:rPr>
        <w:t>：mentor 原话是"利用 MnO₂ 的氧化还原性稳定 Ru"。本文把它落到可测物理量上——不只是 Mn³⁺/Mn⁴⁺ 比例，而是</w:t>
      </w:r>
      <w:r>
        <w:rPr>
          <w:rFonts w:ascii="Times New Roman" w:hAnsi="Times New Roman" w:eastAsia="宋体"/>
          <w:b/>
          <w:sz w:val="24"/>
        </w:rPr>
        <w:t>表面羟基覆盖度随电位的可逆变化幅度</w:t>
      </w:r>
      <w:r>
        <w:rPr>
          <w:rFonts w:ascii="Times New Roman" w:hAnsi="Times New Roman" w:eastAsia="宋体"/>
          <w:b w:val="0"/>
          <w:sz w:val="24"/>
        </w:rPr>
        <w:t>（21.59% → 36.97% → 36.31%，p.7）。本课题表征清单里必须加"羟基覆盖度的电位依赖"。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本文的结论削弱了课题标题的因果链（R2）</w:t>
      </w:r>
      <w:r>
        <w:rPr>
          <w:rFonts w:ascii="Times New Roman" w:hAnsi="Times New Roman" w:eastAsia="宋体"/>
          <w:b w:val="0"/>
          <w:sz w:val="24"/>
        </w:rPr>
        <w:t>：作者明确说静态基序不够（p.7）。若课题仍以"Ru–O–Mn 界面耦合"为卖点，就必须回答本文没答的问题——</w:t>
      </w:r>
      <w:r>
        <w:rPr>
          <w:rFonts w:ascii="Times New Roman" w:hAnsi="Times New Roman" w:eastAsia="宋体"/>
          <w:b/>
          <w:sz w:val="24"/>
        </w:rPr>
        <w:t>界面耦合如何"制造"出高羟基覆盖度？</w:t>
      </w:r>
      <w:r>
        <w:rPr>
          <w:rFonts w:ascii="Times New Roman" w:hAnsi="Times New Roman" w:eastAsia="宋体"/>
          <w:b w:val="0"/>
          <w:sz w:val="24"/>
        </w:rPr>
        <w:t xml:space="preserve"> 可能链条是 Mn(III) → 氧空位 → 水解脱附 → 羟基（本文 p.3 已有定性描述），而 Mn(III) 含量恰是电沉积参数可调的，这正好把"电沉积工艺"与"机制叙事"接上。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"Mn 溶得比 Ru 多"是被忽略的线索（R2）</w:t>
      </w:r>
      <w:r>
        <w:rPr>
          <w:rFonts w:ascii="Times New Roman" w:hAnsi="Times New Roman" w:eastAsia="宋体"/>
          <w:b w:val="0"/>
          <w:sz w:val="24"/>
        </w:rPr>
        <w:t>：1750 h 后 Mn 1.02%、Ru 0.43%，Mn/Ru ≈ 2.4。若 Mn 是牺牲型缓冲组分，二者溶出速率应存在耦合；做时间分辨双元素溶出曲线可能比再报一个 S-number 更有新意。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MnO₄⁻ 报警峰是最该复用的风险传感器（R2）</w:t>
      </w:r>
      <w:r>
        <w:rPr>
          <w:rFonts w:ascii="Times New Roman" w:hAnsi="Times New Roman" w:eastAsia="宋体"/>
          <w:b w:val="0"/>
          <w:sz w:val="24"/>
        </w:rPr>
        <w:t>：p.5 那条"纯 β-MnO₂ &gt;1.7 V 出现 839 cm⁻¹、掺 Ru 后消失"就是为"电沉积 MnO₂ 能否在酸里活下来"准备的判据，建议提升为课题的核心 go/no-go 探针。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与先例的分工必须讲清（R1/R2）</w:t>
      </w:r>
      <w:r>
        <w:rPr>
          <w:rFonts w:ascii="Times New Roman" w:hAnsi="Times New Roman" w:eastAsia="宋体"/>
          <w:b w:val="0"/>
          <w:sz w:val="24"/>
        </w:rPr>
        <w:t>：Lin 2021（α-MnO₂、阳离子交换原位重构、OPM、161 mV、&gt;200 h）、JACS 2026（电场诱导 Mn₃O₄ 原位长出 MnO₂ 纳米盾、176 mV @0.5 M H₂SO₄、8800 h）、本文（β-MnO₂ 边缘位 + 羟基电荷缓冲、232 mV、S-number 4.37×10⁸）已构成完整证据链。</w:t>
      </w:r>
      <w:r>
        <w:rPr>
          <w:rFonts w:ascii="Times New Roman" w:hAnsi="Times New Roman" w:eastAsia="宋体"/>
          <w:b/>
          <w:sz w:val="24"/>
        </w:rPr>
        <w:t>课题若继续做"Mn 稳定 Ru"，创新点必须落在"工艺可控性"上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