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文献精读报告：MatClaw: An Autonomous Code-First LLM Agent for End-to-End Materials Exploration（MatClaw：面向端到端材料探索的代码优先自主 LLM Agent）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：Chenmu Zhang、Boris I. Yakobson（美国莱斯大学，材料科学与纳米工程系）｜arXiv:2604.02688v3（Preprint，2026-05-22 版，R0）｜精读日期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：这是"代码优先（code-first）"材料计算 Agent 的代表作，让 LLM 直接编写并执行 Python、自由组合任何已安装的领域库（pymatgen/ASE/atomate2/jobflow/DeePMD-kit，后端含 VASP/LAMMPS/phonopy 等），在远程 HPC 上编排多代码、跨多天工作流，并用四层记忆 + 源码检索增强（RAG）把每步 API 调用准确率推到约 99%——是课题 22 最直接可借鉴的 Agent 工程范本。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 xml:space="preserve">（R0）：MatClaw 针对现有材料 Agent 的两大局限——"流水线受限（pipeline-bounded，绑定特定软件）"与"依赖手写工具函数（tool-call dependence，随任务扩展而膨胀）"——提出 </w:t>
      </w:r>
      <w:r>
        <w:rPr>
          <w:rFonts w:ascii="Times New Roman" w:hAnsi="Times New Roman" w:eastAsia="宋体"/>
          <w:b/>
          <w:sz w:val="24"/>
        </w:rPr>
        <w:t>code-as-action</w:t>
      </w:r>
      <w:r>
        <w:rPr>
          <w:rFonts w:ascii="Times New Roman" w:hAnsi="Times New Roman" w:eastAsia="宋体"/>
          <w:b w:val="0"/>
          <w:sz w:val="24"/>
        </w:rPr>
        <w:t>：动作空间就是可执行 Python 代码，而非固定工具调用（p.2-3）。为支撑多天工作流，引入</w:t>
      </w:r>
      <w:r>
        <w:rPr>
          <w:rFonts w:ascii="Times New Roman" w:hAnsi="Times New Roman" w:eastAsia="宋体"/>
          <w:b/>
          <w:sz w:val="24"/>
        </w:rPr>
        <w:t>四层记忆架构</w:t>
      </w:r>
      <w:r>
        <w:rPr>
          <w:rFonts w:ascii="Times New Roman" w:hAnsi="Times New Roman" w:eastAsia="宋体"/>
          <w:b w:val="0"/>
          <w:sz w:val="24"/>
        </w:rPr>
        <w:t>（对应 CoALA 认知架构分类）对抗"Sisyphus Trap"（西西弗斯陷阱）式的渐进上下文丢失，以及</w:t>
      </w:r>
      <w:r>
        <w:rPr>
          <w:rFonts w:ascii="Times New Roman" w:hAnsi="Times New Roman" w:eastAsia="宋体"/>
          <w:b/>
          <w:sz w:val="24"/>
        </w:rPr>
        <w:t>对领域源码做 RAG</w:t>
      </w:r>
      <w:r>
        <w:rPr>
          <w:rFonts w:ascii="Times New Roman" w:hAnsi="Times New Roman" w:eastAsia="宋体"/>
          <w:b w:val="0"/>
          <w:sz w:val="24"/>
        </w:rPr>
        <w:t>（结构感知代码切分 + BM25 检索）保证 API 使用正确（p.2、p.4-6）。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（R0）：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Agent 已能可靠处理"确定性任务"（代码生成、API 组合、数据格式转换、HPC 提交、运行时错误自修复）与"科学结果解读"（p.13，Sec.3.4）。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真正的瓶颈是</w:t>
      </w:r>
      <w:r>
        <w:rPr>
          <w:rFonts w:ascii="Times New Roman" w:hAnsi="Times New Roman" w:eastAsia="宋体"/>
          <w:b/>
          <w:sz w:val="24"/>
        </w:rPr>
        <w:t>隐性领域知识（tacit domain knowledge）</w:t>
      </w:r>
      <w:r>
        <w:rPr>
          <w:rFonts w:ascii="Times New Roman" w:hAnsi="Times New Roman" w:eastAsia="宋体"/>
          <w:b w:val="0"/>
          <w:sz w:val="24"/>
        </w:rPr>
        <w:t>——如合适的时间尺度、平衡协议、采样策略，这类专家靠经验积累却很少显式成文的知识（p.13）。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两种轻量干预可弥合缺口：</w:t>
      </w:r>
      <w:r>
        <w:rPr>
          <w:rFonts w:ascii="Times New Roman" w:hAnsi="Times New Roman" w:eastAsia="宋体"/>
          <w:b/>
          <w:sz w:val="24"/>
        </w:rPr>
        <w:t>文献自学</w:t>
      </w:r>
      <w:r>
        <w:rPr>
          <w:rFonts w:ascii="Times New Roman" w:hAnsi="Times New Roman" w:eastAsia="宋体"/>
          <w:b w:val="0"/>
          <w:sz w:val="24"/>
        </w:rPr>
        <w:t>（让 Agent 读参考论文并抽取方法到持久记忆）与</w:t>
      </w:r>
      <w:r>
        <w:rPr>
          <w:rFonts w:ascii="Times New Roman" w:hAnsi="Times New Roman" w:eastAsia="宋体"/>
          <w:b/>
          <w:sz w:val="24"/>
        </w:rPr>
        <w:t>专家指定约束</w:t>
      </w:r>
      <w:r>
        <w:rPr>
          <w:rFonts w:ascii="Times New Roman" w:hAnsi="Times New Roman" w:eastAsia="宋体"/>
          <w:b w:val="0"/>
          <w:sz w:val="24"/>
        </w:rPr>
        <w:t>（任务描述中加一句硬性要求），由此形成"</w:t>
      </w:r>
      <w:r>
        <w:rPr>
          <w:rFonts w:ascii="Times New Roman" w:hAnsi="Times New Roman" w:eastAsia="宋体"/>
          <w:b/>
          <w:sz w:val="24"/>
        </w:rPr>
        <w:t>guided autonomy（受引导的自主）</w:t>
      </w:r>
      <w:r>
        <w:rPr>
          <w:rFonts w:ascii="Times New Roman" w:hAnsi="Times New Roman" w:eastAsia="宋体"/>
          <w:b w:val="0"/>
          <w:sz w:val="24"/>
        </w:rPr>
        <w:t>"协作模式（p.13-14）。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本文与课题 22 高度同构，几乎可以"平移移植"：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直接对应课题 22 的技术路线</w:t>
      </w:r>
      <w:r>
        <w:rPr>
          <w:rFonts w:ascii="Times New Roman" w:hAnsi="Times New Roman" w:eastAsia="宋体"/>
          <w:b w:val="0"/>
          <w:sz w:val="24"/>
        </w:rPr>
        <w:t xml:space="preserve">：MatClaw 的图 1 架构明示其后端就包括 </w:t>
      </w:r>
      <w:r>
        <w:rPr>
          <w:rFonts w:ascii="Times New Roman" w:hAnsi="Times New Roman" w:eastAsia="宋体"/>
          <w:b/>
          <w:sz w:val="24"/>
        </w:rPr>
        <w:t>phonopy</w:t>
      </w:r>
      <w:r>
        <w:rPr>
          <w:rFonts w:ascii="Times New Roman" w:hAnsi="Times New Roman" w:eastAsia="宋体"/>
          <w:b w:val="0"/>
          <w:sz w:val="24"/>
        </w:rPr>
        <w:t>（p.2，Fig.1 描述）；它组合 pymatgen/atomate2/jobflow 编排"结构构建→作业提交→结果分析"的代码工作流，正是课题 22 要做的"uMLIP + Phonopy/phono3py"工作流的现成骨架。把演示中的 DeePMD/铁电 MD 换成 phonopy/phono3py 声子热导，架构几乎不变（R2）。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"异常自动转人工"的范式升级</w:t>
      </w:r>
      <w:r>
        <w:rPr>
          <w:rFonts w:ascii="Times New Roman" w:hAnsi="Times New Roman" w:eastAsia="宋体"/>
          <w:b w:val="0"/>
          <w:sz w:val="24"/>
        </w:rPr>
        <w:t>：ReAct 提供"thought–action–observation"范式，MatClaw 则把 action 具体化为</w:t>
      </w:r>
      <w:r>
        <w:rPr>
          <w:rFonts w:ascii="Times New Roman" w:hAnsi="Times New Roman" w:eastAsia="宋体"/>
          <w:b/>
          <w:sz w:val="24"/>
        </w:rPr>
        <w:t>可执行代码 + 结构化输出（phase→plan→code→summary）</w:t>
      </w:r>
      <w:r>
        <w:rPr>
          <w:rFonts w:ascii="Times New Roman" w:hAnsi="Times New Roman" w:eastAsia="宋体"/>
          <w:b w:val="0"/>
          <w:sz w:val="24"/>
        </w:rPr>
        <w:t>（p.4）。课题 22 的"异常检测→转人工"可直接对应 MatClaw 的 summary/经验日志 + 专家约束（R2）。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解决课题 22 的核心工程难点</w:t>
      </w:r>
      <w:r>
        <w:rPr>
          <w:rFonts w:ascii="Times New Roman" w:hAnsi="Times New Roman" w:eastAsia="宋体"/>
          <w:b w:val="0"/>
          <w:sz w:val="24"/>
        </w:rPr>
        <w:t>：① 多代码编排（uMLIP 产力常数 → phonopy 谐波 → phono3py 热导）正是 MatClaw"多代码、无预定义工具"的强项；② 长工作流上下文丢失（热导计算动辄数天）由四层记忆 + 分区分层剪枝解决（p.4-6）；③ 冷门库 API 正确率（如 phono3py 的专有参数）由 RAG 补足（p.16，表 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 7 志愿整体</w:t>
      </w:r>
      <w:r>
        <w:rPr>
          <w:rFonts w:ascii="Times New Roman" w:hAnsi="Times New Roman" w:eastAsia="宋体"/>
          <w:b w:val="0"/>
          <w:sz w:val="24"/>
        </w:rPr>
        <w:t>：MatClaw 演示的主动学习训练 MLIP（Task 1）直接服务志愿 47/22 的 uMLIP 制备；其"文献自学 + 专家约束"的 guided autonomy 模式可推广到志愿 23/24/39/50/70 的各类计算/实验 Agent。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引言（p.1-2，Sec.1）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背景：LLM 在编码（SWE-bench &gt;80%）与科学推理（GPQA Diamond 94%）双达标，而计算材料学的流程"本身就是代码"，是自主 Agent 的天然场域（p.1）。作者系统梳理并批判两类局限：① pipeline-bounded（如 VASPilot 只自动化 VASP、Xia 等只做固定第一性原理任务集）；② tool-call dependence（ChemCrow 集成 18 个专家工具，扩展到新领域需重新设计工具）（p.2）。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系统设计（p.2-6，Sec.2）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整体架构</w:t>
      </w:r>
      <w:r>
        <w:rPr>
          <w:rFonts w:ascii="Times New Roman" w:hAnsi="Times New Roman" w:eastAsia="宋体"/>
          <w:b w:val="0"/>
          <w:sz w:val="24"/>
        </w:rPr>
        <w:t>（p.2-3，Fig.1）：研究者给自然语言任务描述 → LLM Agent 生成 Python 代码调用领域库 → 库向远程 HPC 后端（VASP/DeePMD-kit/LAMMPS/phonopy）提交作业并返回结果 → Agent 读输出、推理、再写代码。两点区分性设计：</w:t>
      </w:r>
      <w:r>
        <w:rPr>
          <w:rFonts w:ascii="Times New Roman" w:hAnsi="Times New Roman" w:eastAsia="宋体"/>
          <w:b/>
          <w:sz w:val="24"/>
        </w:rPr>
        <w:t>单 Agent</w:t>
      </w:r>
      <w:r>
        <w:rPr>
          <w:rFonts w:ascii="Times New Roman" w:hAnsi="Times New Roman" w:eastAsia="宋体"/>
          <w:b w:val="0"/>
          <w:sz w:val="24"/>
        </w:rPr>
        <w:t>（避免多 Agent 框架的协调开销与状态同步）；</w:t>
      </w:r>
      <w:r>
        <w:rPr>
          <w:rFonts w:ascii="Times New Roman" w:hAnsi="Times New Roman" w:eastAsia="宋体"/>
          <w:b/>
          <w:sz w:val="24"/>
        </w:rPr>
        <w:t>不直接操纵后端</w:t>
      </w:r>
      <w:r>
        <w:rPr>
          <w:rFonts w:ascii="Times New Roman" w:hAnsi="Times New Roman" w:eastAsia="宋体"/>
          <w:b w:val="0"/>
          <w:sz w:val="24"/>
        </w:rPr>
        <w:t>（通过 Python 库间接编排，解耦具体后端）（p.3）。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code-first 设计</w:t>
      </w:r>
      <w:r>
        <w:rPr>
          <w:rFonts w:ascii="Times New Roman" w:hAnsi="Times New Roman" w:eastAsia="宋体"/>
          <w:b w:val="0"/>
          <w:sz w:val="24"/>
        </w:rPr>
        <w:t>（Sec.2.1）：动作空间 = 可执行 Python 代码；Wang et al. 已证代码动作比 JSON/文本动作在 17 个 LLM 上高至 20% 成功率（支持组合、动态修订、自调试）。每个 step 产出四字段</w:t>
      </w:r>
      <w:r>
        <w:rPr>
          <w:rFonts w:ascii="Times New Roman" w:hAnsi="Times New Roman" w:eastAsia="宋体"/>
          <w:b/>
          <w:sz w:val="24"/>
        </w:rPr>
        <w:t>按序</w:t>
      </w:r>
      <w:r>
        <w:rPr>
          <w:rFonts w:ascii="Times New Roman" w:hAnsi="Times New Roman" w:eastAsia="宋体"/>
          <w:b w:val="0"/>
          <w:sz w:val="24"/>
        </w:rPr>
        <w:t>输出——phase（跨步主题定位，防目标漂移）→ plan（本步计划，作为代码契约）→ code（获得最大上下文）→ summary（基于已生成代码写摘要，作历史索引），利用自回归"从左到右"生成特性（p.4）。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四层记忆</w:t>
      </w:r>
      <w:r>
        <w:rPr>
          <w:rFonts w:ascii="Times New Roman" w:hAnsi="Times New Roman" w:eastAsia="宋体"/>
          <w:b w:val="0"/>
          <w:sz w:val="24"/>
        </w:rPr>
        <w:t>（Sec.2.2，表 1）：对抗"Sisyphus Trap"三阶段失效（detail loss→goal drift→catastrophic forgetting，p.4）。Layer1 上下文工作记忆；Layer2 情节式会话历史（append-only 文件，两步检索：先扫 summary 再按需载入详情，</w:t>
      </w:r>
      <w:r>
        <w:rPr>
          <w:rFonts w:ascii="Times New Roman" w:hAnsi="Times New Roman" w:eastAsia="宋体"/>
          <w:b/>
          <w:sz w:val="24"/>
        </w:rPr>
        <w:t>零额外 LLM 调用</w:t>
      </w:r>
      <w:r>
        <w:rPr>
          <w:rFonts w:ascii="Times New Roman" w:hAnsi="Times New Roman" w:eastAsia="宋体"/>
          <w:b w:val="0"/>
          <w:sz w:val="24"/>
        </w:rPr>
        <w:t>）；Layer3 语义经验日志（自然语言规则注入 system prompt，</w:t>
      </w:r>
      <w:r>
        <w:rPr>
          <w:rFonts w:ascii="Times New Roman" w:hAnsi="Times New Roman" w:eastAsia="宋体"/>
          <w:b/>
          <w:sz w:val="24"/>
        </w:rPr>
        <w:t>动态重载</w:t>
      </w:r>
      <w:r>
        <w:rPr>
          <w:rFonts w:ascii="Times New Roman" w:hAnsi="Times New Roman" w:eastAsia="宋体"/>
          <w:b w:val="0"/>
          <w:sz w:val="24"/>
        </w:rPr>
        <w:t>：文件变更即时生效）；Layer4 外部数据库（只读查询已算完的精确数值结果，供 40+ 步后使用）（p.4-5）。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上下文管理</w:t>
      </w:r>
      <w:r>
        <w:rPr>
          <w:rFonts w:ascii="Times New Roman" w:hAnsi="Times New Roman" w:eastAsia="宋体"/>
          <w:b w:val="0"/>
          <w:sz w:val="24"/>
        </w:rPr>
        <w:t>（Sec.2.3）：依据"长上下文推理退化"（Lost in the Middle、context rot）保守设上限（如广告 1M 的模型只用 200K）；采用</w:t>
      </w:r>
      <w:r>
        <w:rPr>
          <w:rFonts w:ascii="Times New Roman" w:hAnsi="Times New Roman" w:eastAsia="宋体"/>
          <w:b/>
          <w:sz w:val="24"/>
        </w:rPr>
        <w:t>分区剪枝</w:t>
      </w:r>
      <w:r>
        <w:rPr>
          <w:rFonts w:ascii="Times New Roman" w:hAnsi="Times New Roman" w:eastAsia="宋体"/>
          <w:b w:val="0"/>
          <w:sz w:val="24"/>
        </w:rPr>
        <w:t>：最新消息全保护→次级工具响应裁头尾→更旧层级用占位符替代（类比 observation masking）→最旧层级整段删除只留截断标记；bootstrap 消息（系统提示+初始任务）永远保护（对应 attention sink 现象）。关键：</w:t>
      </w:r>
      <w:r>
        <w:rPr>
          <w:rFonts w:ascii="Times New Roman" w:hAnsi="Times New Roman" w:eastAsia="宋体"/>
          <w:b/>
          <w:sz w:val="24"/>
        </w:rPr>
        <w:t>信息永不永久丢失</w:t>
      </w:r>
      <w:r>
        <w:rPr>
          <w:rFonts w:ascii="Times New Roman" w:hAnsi="Times New Roman" w:eastAsia="宋体"/>
          <w:b w:val="0"/>
          <w:sz w:val="24"/>
        </w:rPr>
        <w:t>，全文存盘、summary 作索引可恢复（p.5-6）。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RAG</w:t>
      </w:r>
      <w:r>
        <w:rPr>
          <w:rFonts w:ascii="Times New Roman" w:hAnsi="Times New Roman" w:eastAsia="宋体"/>
          <w:b w:val="0"/>
          <w:sz w:val="24"/>
        </w:rPr>
        <w:t>（Sec.2.4）：code-first Agent 每一步都写代码，一个函数名/参数/导入路径错即失败；无 RAG 时单步错误率 5%–30%，随步数指数级累积。方案：</w:t>
      </w:r>
      <w:r>
        <w:rPr>
          <w:rFonts w:ascii="Times New Roman" w:hAnsi="Times New Roman" w:eastAsia="宋体"/>
          <w:b/>
          <w:sz w:val="24"/>
        </w:rPr>
        <w:t>结构感知代码切分</w:t>
      </w:r>
      <w:r>
        <w:rPr>
          <w:rFonts w:ascii="Times New Roman" w:hAnsi="Times New Roman" w:eastAsia="宋体"/>
          <w:b w:val="0"/>
          <w:sz w:val="24"/>
        </w:rPr>
        <w:t xml:space="preserve">（code-chunk 基于 tree-sitter、cAST 基于 AST，按 AST 边界切）+ </w:t>
      </w:r>
      <w:r>
        <w:rPr>
          <w:rFonts w:ascii="Times New Roman" w:hAnsi="Times New Roman" w:eastAsia="宋体"/>
          <w:b/>
          <w:sz w:val="24"/>
        </w:rPr>
        <w:t>BM25 + 三查询倒数秩融合（RRF）</w:t>
      </w:r>
      <w:r>
        <w:rPr>
          <w:rFonts w:ascii="Times New Roman" w:hAnsi="Times New Roman" w:eastAsia="宋体"/>
          <w:b w:val="0"/>
          <w:sz w:val="24"/>
        </w:rPr>
        <w:t xml:space="preserve"> 检索，把源码原文片段注入提示（p.6）。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演示与失败分析（p.6-13，Sec.3）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研究载体：单层 CuInP₂S₆（CIPS）范德华铁电体（Cu 在面外方向双势阱），用 He et al. 预训练 DeePMD 势作"教师"以省去 DFT 标注成本（p.6-7）。三个任务（表 2）：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Task 1：主动学习蒸馏 MLP</w:t>
      </w:r>
      <w:r>
        <w:rPr>
          <w:rFonts w:ascii="Times New Roman" w:hAnsi="Times New Roman" w:eastAsia="宋体"/>
          <w:b w:val="0"/>
          <w:sz w:val="24"/>
        </w:rPr>
        <w:t>（Sec.3.1）。首试 21 步 44 分钟：流程全对、两处运行时错误（API 枚举值错、MongoDB 102MB 文档超限）均自修复，MAE_f=0.082 eV/Å 达标——但</w:t>
      </w:r>
      <w:r>
        <w:rPr>
          <w:rFonts w:ascii="Times New Roman" w:hAnsi="Times New Roman" w:eastAsia="宋体"/>
          <w:b/>
          <w:sz w:val="24"/>
        </w:rPr>
        <w:t>选了 1 ps MD 轨迹</w:t>
      </w:r>
      <w:r>
        <w:rPr>
          <w:rFonts w:ascii="Times New Roman" w:hAnsi="Times New Roman" w:eastAsia="宋体"/>
          <w:b w:val="0"/>
          <w:sz w:val="24"/>
        </w:rPr>
        <w:t>，只采到近平衡简谐振动，Cu 从未跨越铁电翻转势垒（专家知道需 ≳10 ps），模型并不可靠（p.7-8）。二试 45 步：预置"读 He 论文 + 抽取方法到经验日志"与"初始教师 MD 至少 20 ps"两条约束，Agent 抽出 DP-GEN 的 σ 三带选择标准（σ&lt;0.05 跳过 / 0.05–0.15 标注 / &gt;0.15 弃用），500 K 下 38% Cu 帧跨中面、800 K 45%，最终 2 轮主动学习、1226 帧、MAE_f=0.098 eV/Å（p.8-9）。关键教训：</w:t>
      </w:r>
      <w:r>
        <w:rPr>
          <w:rFonts w:ascii="Times New Roman" w:hAnsi="Times New Roman" w:eastAsia="宋体"/>
          <w:b/>
          <w:sz w:val="24"/>
        </w:rPr>
        <w:t>差距在实验设计质量而非步数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Task 2：预测 Curie 温度 Tc</w:t>
      </w:r>
      <w:r>
        <w:rPr>
          <w:rFonts w:ascii="Times New Roman" w:hAnsi="Times New Roman" w:eastAsia="宋体"/>
          <w:b w:val="0"/>
          <w:sz w:val="24"/>
        </w:rPr>
        <w:t>（Sec.3.2）。首试 17 步：无收敛验证要求，11 温度×100 ps 扫参，报 Tc=230±35 K，但 350 K 序参量(0.153 Å)反而大于 300 K(0.101 Å)，是非收敛假象；Agent 无"自我质疑"本能。二试仅 8 步：加"扫参前先跑导引 MD 验证序参量平衡"一条约束，Agent 发现符号序参量 η(t) 在转变附近频繁换号、改用量值序参量 Q(T)=⟨|η(t)|⟩，报 Tc=261±10 K，不确定度降 3.5×（p.9-10）。补充验证：批量 6×4×4 超胞（3840 原子）得 Tc=343±5 K，与 He et al. 的势一致，说明 261 K 偏离实验 315 K 源于建模选择（单层 vs 块体）而非 Agent（p.11、附录 A）。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Task 3：(E,T) 参数空间启发式搜索畴壁传播</w:t>
      </w:r>
      <w:r>
        <w:rPr>
          <w:rFonts w:ascii="Times New Roman" w:hAnsi="Times New Roman" w:eastAsia="宋体"/>
          <w:b w:val="0"/>
          <w:sz w:val="24"/>
        </w:rPr>
        <w:t>（Sec.3.3）。提示词给出量化"domino 指标"（⟨|Δt(d)|⟩ 对 d 拟合斜率，&gt;0.3 ps/site 即畴壁传播）。27 步零错误、7 轮迭代探索 14 个 (E,T) 点，在 Ez=−0.16 V/Å、T=50 K 找到斜率 0.321 ps/site，42/50 Cu 位点 35 ps 内顺序翻转，畴壁速度 ~640 m/s；总耗时 14 作业×~15 min≈3.5 小时，远小于穷举扫参（p.11-12）。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失败分析</w:t>
      </w:r>
      <w:r>
        <w:rPr>
          <w:rFonts w:ascii="Times New Roman" w:hAnsi="Times New Roman" w:eastAsia="宋体"/>
          <w:b w:val="0"/>
          <w:sz w:val="24"/>
        </w:rPr>
        <w:t>（Sec.3.4）：优势=确定性任务可靠 + 结果解读可靠（Task 3 零错）；局限=隐性领域知识缺失（时间尺度、平衡协议、相变采样充分性、主动学习最佳实践如 loop sizing/多样性控制/剔除非物理结构）；两类干预=文献指引（发挥阅读理解优势）与专家约束（一句话硬性要求）（p.13-14）。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RAG 基准（p.14-17，Sec.4）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三套多选题 QA（表 3）：pymatgen 源码 300 题（取自 MatTools）、VASP wiki 文档 500 题、jobflow-remote 源码 300 题（自建）。三组结论：① </w:t>
      </w:r>
      <w:r>
        <w:rPr>
          <w:rFonts w:ascii="Times New Roman" w:hAnsi="Times New Roman" w:eastAsia="宋体"/>
          <w:b/>
          <w:sz w:val="24"/>
        </w:rPr>
        <w:t>切分方法</w:t>
      </w:r>
      <w:r>
        <w:rPr>
          <w:rFonts w:ascii="Times New Roman" w:hAnsi="Times New Roman" w:eastAsia="宋体"/>
          <w:b w:val="0"/>
          <w:sz w:val="24"/>
        </w:rPr>
        <w:t xml:space="preserve">（表 4）：code-chunk 达 97.0%（优于 fixed-width 94–96% 与 cAST 94–95%），因保留类名/导入/兄弟定义的作用域头（p.14-15）；BM25（99.6%）胜过 Gemini 嵌入（99.0%），尽管后者原始 MRR 更高，说明关键词词法匹配对 API 查找更可靠（p.15）。② </w:t>
      </w:r>
      <w:r>
        <w:rPr>
          <w:rFonts w:ascii="Times New Roman" w:hAnsi="Times New Roman" w:eastAsia="宋体"/>
          <w:b/>
          <w:sz w:val="24"/>
        </w:rPr>
        <w:t>跨 LLM 世代</w:t>
      </w:r>
      <w:r>
        <w:rPr>
          <w:rFonts w:ascii="Times New Roman" w:hAnsi="Times New Roman" w:eastAsia="宋体"/>
          <w:b w:val="0"/>
          <w:sz w:val="24"/>
        </w:rPr>
        <w:t xml:space="preserve">（表 5）：无 RAG 准确率一年内 76.3%→90.0%（+14pp），RAG 稳定增益 8.7–13.4pp，最新模型+RAG 达 98.7%（p.15-16）。③ </w:t>
      </w:r>
      <w:r>
        <w:rPr>
          <w:rFonts w:ascii="Times New Roman" w:hAnsi="Times New Roman" w:eastAsia="宋体"/>
          <w:b/>
          <w:sz w:val="24"/>
        </w:rPr>
        <w:t>跨库泛化</w:t>
      </w:r>
      <w:r>
        <w:rPr>
          <w:rFonts w:ascii="Times New Roman" w:hAnsi="Times New Roman" w:eastAsia="宋体"/>
          <w:b w:val="0"/>
          <w:sz w:val="24"/>
        </w:rPr>
        <w:t>（表 6）：无 RAG 时准确率随库冷门度下降（pymatgen 90.0 → jobflow-remote 76.3），RAG 后收敛到 97–99%，</w:t>
      </w:r>
      <w:r>
        <w:rPr>
          <w:rFonts w:ascii="Times New Roman" w:hAnsi="Times New Roman" w:eastAsia="宋体"/>
          <w:b/>
          <w:sz w:val="24"/>
        </w:rPr>
        <w:t>越冷门的库受益越大</w:t>
      </w:r>
      <w:r>
        <w:rPr>
          <w:rFonts w:ascii="Times New Roman" w:hAnsi="Times New Roman" w:eastAsia="宋体"/>
          <w:b w:val="0"/>
          <w:sz w:val="24"/>
        </w:rPr>
        <w:t>（+21.0pp）（p.16-17）。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结论（p.17-18，Sec.5）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"code-first + RAG 使多步工作流可行"；瓶颈是隐性知识而非编码；guided autonomy 是最有效的协作模式；LLM 能力快速提升（约一年 +14pp）与 RAG 互补，Agent 最擅长、最省人力的正是"随人力成本差扩展"的参数空间探索与高通量执行（p.17-18）。代码开源 github.com/cz2014/MatClaw；演示用 Claude Opus 4.6 / GPT-5.4 / Gemini 3.0 Flash（p.18）。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上下文丢失与长程连贯性</w:t>
      </w:r>
      <w:r>
        <w:rPr>
          <w:rFonts w:ascii="Times New Roman" w:hAnsi="Times New Roman" w:eastAsia="宋体"/>
          <w:b w:val="0"/>
          <w:sz w:val="24"/>
        </w:rPr>
        <w:t>（R0）：多天工作流必经"Sisyphus Trap"三阶段失效，需四层记忆 + 分区剪枝 + 零成本 summary 索引协同解决（p.4-6）——课题 22 的热导计算同样跨多天、步骤多，必须内置同等机制。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隐性领域知识的缺失</w:t>
      </w:r>
      <w:r>
        <w:rPr>
          <w:rFonts w:ascii="Times New Roman" w:hAnsi="Times New Roman" w:eastAsia="宋体"/>
          <w:b w:val="0"/>
          <w:sz w:val="24"/>
        </w:rPr>
        <w:t>（R0）：Agent 能写对代码却会选错时间尺度/平衡协议/采样策略，且"科学质量失败是沉默的"（无声失败，无报错提示，p.10）——这是"异常自动转人工"最难的一类，因为异常不以报错形式出现。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API 正确率的累积效应</w:t>
      </w:r>
      <w:r>
        <w:rPr>
          <w:rFonts w:ascii="Times New Roman" w:hAnsi="Times New Roman" w:eastAsia="宋体"/>
          <w:b w:val="0"/>
          <w:sz w:val="24"/>
        </w:rPr>
        <w:t>（R0）：单步错误率 10–24% 会在 50–100 步中指数级放大，使工作流不可靠（p.16）；冷门库（如 phono3py 专有参数）内在知识最弱，恰好是 Agent 最需要处（p.17）。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非保守/错误模型的误导</w:t>
      </w:r>
      <w:r>
        <w:rPr>
          <w:rFonts w:ascii="Times New Roman" w:hAnsi="Times New Roman" w:eastAsia="宋体"/>
          <w:b w:val="0"/>
          <w:sz w:val="24"/>
        </w:rPr>
        <w:t>（R2）：与 Loew 2025 呼应——若 Agent 用 ORB/eqV2-M 这类非保守 uMLIP 算声子，会得到虚频而误判不稳定；Agent 需有"交叉验证引擎"意识。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架构蓝本直接复用</w:t>
      </w:r>
      <w:r>
        <w:rPr>
          <w:rFonts w:ascii="Times New Roman" w:hAnsi="Times New Roman" w:eastAsia="宋体"/>
          <w:b w:val="0"/>
          <w:sz w:val="24"/>
        </w:rPr>
        <w:t>：code-as-action + 单 Agent + "只组合 Python 库、不直连后端"的解耦设计（p.3），加上四字段有序输出 phase→plan→code→summary（p.4），可直接作为课题 22 的 Agent 骨架；把 DeePMD/铁电替换为 phonopy/phono3py 即可。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记忆方案落地</w:t>
      </w:r>
      <w:r>
        <w:rPr>
          <w:rFonts w:ascii="Times New Roman" w:hAnsi="Times New Roman" w:eastAsia="宋体"/>
          <w:b w:val="0"/>
          <w:sz w:val="24"/>
        </w:rPr>
        <w:t>：四层记忆（工作/情节/语义/数据库）+ 动态重载经验日志 + 分区剪枝且"永不永久丢失"（p.4-6），是跨多天热导计算的工程必需品。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RAG 配方</w:t>
      </w:r>
      <w:r>
        <w:rPr>
          <w:rFonts w:ascii="Times New Roman" w:hAnsi="Times New Roman" w:eastAsia="宋体"/>
          <w:b w:val="0"/>
          <w:sz w:val="24"/>
        </w:rPr>
        <w:t>：结构感知切分（code-chunk/tree-sitter）+ BM25 + 三查询 RRF（p.6、p.15），对 phonopy/phono3py 这类文档多、参数繁杂的库尤其有效。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guided autonomy 模式</w:t>
      </w:r>
      <w:r>
        <w:rPr>
          <w:rFonts w:ascii="Times New Roman" w:hAnsi="Times New Roman" w:eastAsia="宋体"/>
          <w:b w:val="0"/>
          <w:sz w:val="24"/>
        </w:rPr>
        <w:t>：课题 22 应把"文献自学"（让 Agent 读 Togo 综述/Loew 基准抽取方法）与"专家约束"（如"三阶力常数收敛需检查 κ 对 cut-off/q 网格"）作为第一公民能力；异常转人工即是专家约束的动态注入点（R0→R2）。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可量化的验收指标</w:t>
      </w:r>
      <w:r>
        <w:rPr>
          <w:rFonts w:ascii="Times New Roman" w:hAnsi="Times New Roman" w:eastAsia="宋体"/>
          <w:b w:val="0"/>
          <w:sz w:val="24"/>
        </w:rPr>
        <w:t>：借鉴 MatClaw 的"步数/耗时/误差自修复/不确定度降低倍数"等指标来写毕设评估（如 Task 2 的 3.5× 不确定度下降、Task 3 的零错误 27 步，p.9-12）。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MatClaw 与 ReAct 构成演进谱系：ReAct 定义"推理+行动"范式，MatClaw 把"行动"具象为"可执行代码"，并补上"记忆"与"检索"两大长程支撑（p.2 直接引用 ReAct 与 Reflexion）。课题 22 可定位为"ReAct 范式 × MatClaw 工程 × 声子热导领域"的交汇点（R2）。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MatClaw 的"无声科学失败"与 Loew 2025 的"非保守力虚频"、Togo 2015 的"线宽非光滑"三者叠加，正是课题 22"异常自动转人工"所要覆盖的</w:t>
      </w:r>
      <w:r>
        <w:rPr>
          <w:rFonts w:ascii="Times New Roman" w:hAnsi="Times New Roman" w:eastAsia="宋体"/>
          <w:b/>
          <w:sz w:val="24"/>
        </w:rPr>
        <w:t>三类异常</w:t>
      </w:r>
      <w:r>
        <w:rPr>
          <w:rFonts w:ascii="Times New Roman" w:hAnsi="Times New Roman" w:eastAsia="宋体"/>
          <w:b w:val="0"/>
          <w:sz w:val="24"/>
        </w:rPr>
        <w:t>：运行时错误（可自修复）、方法学错误（需专家约束）、物理判据失效（需文献/交叉验证）（R2）。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值得注意：MatClaw 是 2026 年 arXiv 预印本，演示使用 Claude Opus 4.6/GPT-5.4 等 2025 年末前沿模型，结论"LLM 一年内 +14pp"提示课题 22 在模型选型上应尽量用最新模型并预留升级空间（R0/R2）。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