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文献精读报告：Distributions of phonon lifetimes in Brillouin zones（布里渊区内声子寿命的分布）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：Atsushi Togo（都賀淳史）、Laurent Chaput、Isao Tanaka（田中功）｜Physical Review B 91, 094306 (2015)｜DOI: 10.1103/PhysRevB.91.094306（R1，期刊卷期；PDF 内可见 arXiv:1501.00691v3，提交于 2015-03-07）｜精读日期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 Phonopy 作者 Atsushi Togo 团队对 33 种闪锌矿/纤锌矿型二元化合物做系统性第一性原理非谐声子计算、从而揭示"声子寿命在布里渊区内的分布规律"的奠基性论文，是理解声子线宽（linewidth，即寿命倒数）与晶格热导率关系、以及 Phonopy/phono3py 底层物理的必读文献。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（R0）：论文用单模弛豫时间近似（SMRT，即通常所称 RTA）与线性化声子玻尔兹曼方程（LBTE）两种方法，从第一性原理非谐晶格动力学出发，计算了 33 种元素组合（闪锌矿型与纤锌矿型）的晶格热导率；并对 9 种闪锌矿型化合物详细讨论了声子线宽分布（p.1，摘要；p.2，Sec. II）。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声子线宽随波矢呈"非光滑"变化，可由自能虚部"对波矢依赖弱、对频率依赖强"来解释（p.6，Sec. III.A；p.8，Summary）。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决定声子寿命的是"声子-声子相互作用强度"与"三声子选择定则"（能量守恒 δ 函数 + 动量守恒 Δ 函数）的精细组合；因此</w:t>
      </w:r>
      <w:r>
        <w:rPr>
          <w:rFonts w:ascii="Times New Roman" w:hAnsi="Times New Roman" w:eastAsia="宋体"/>
          <w:b/>
          <w:sz w:val="24"/>
        </w:rPr>
        <w:t>没有非谐力常数就难以定量预测声子寿命</w:t>
      </w:r>
      <w:r>
        <w:rPr>
          <w:rFonts w:ascii="Times New Roman" w:hAnsi="Times New Roman" w:eastAsia="宋体"/>
          <w:b w:val="0"/>
          <w:sz w:val="24"/>
        </w:rPr>
        <w:t>（p.1 摘要；p.8，Summary）。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仅由谐波力常数即可算出的、以声子占据数加权的联合态密度 w-JDOS（N₂），可作为晶格热导率的</w:t>
      </w:r>
      <w:r>
        <w:rPr>
          <w:rFonts w:ascii="Times New Roman" w:hAnsi="Times New Roman" w:eastAsia="宋体"/>
          <w:b/>
          <w:sz w:val="24"/>
        </w:rPr>
        <w:t>粗筛工具</w:t>
      </w:r>
      <w:r>
        <w:rPr>
          <w:rFonts w:ascii="Times New Roman" w:hAnsi="Times New Roman" w:eastAsia="宋体"/>
          <w:b w:val="0"/>
          <w:sz w:val="24"/>
        </w:rPr>
        <w:t>（p.1 摘要；p.7；p.8）。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22「LLM Agent 自动化热输运计算工作流」物理层面的核心支柱之一，关联最直接：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它定义了"为什么需要 phono3py"</w:t>
      </w:r>
      <w:r>
        <w:rPr>
          <w:rFonts w:ascii="Times New Roman" w:hAnsi="Times New Roman" w:eastAsia="宋体"/>
          <w:b w:val="0"/>
          <w:sz w:val="24"/>
        </w:rPr>
        <w:t>：热导率计算的关键瓶颈是获得三阶（非谐）力常数并解出每个 q 点声子的自能虚部（线宽）。课题 22 的 Agent 工作流中"跑 phono3py 算 κ"这一步，算的正是本文 Eq.(11) 的 Γλ(ω) 与 Eq.(14) 的 κ。Agent 若能读懂这些方程的意义，就能正确设置超胞尺寸、q 网格、T 网格等参数（p.4，Sec. II.C 给出全套参数范式）。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为"异常自动转人工"提供了物理判据</w:t>
      </w:r>
      <w:r>
        <w:rPr>
          <w:rFonts w:ascii="Times New Roman" w:hAnsi="Times New Roman" w:eastAsia="宋体"/>
          <w:b w:val="0"/>
          <w:sz w:val="24"/>
        </w:rPr>
        <w:t>：本文发现某些化合物（如 CuCl/CuBr）的线宽分布"异常"（光学支色散异常大、LO 支斜率反转，p.5），以及平均线宽在相邻化合物间出现"质变跳跃"（如 CuBr→CuI、ZnS→ZnSe，p.7-8）。这些"非光滑/突变"特征正是课题 22 里 Agent 需要识别并上报人工的典型异常信号（R2）。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：23（Deng 界面层计算）、24（Deng Li₃PS₄ 离子传导）、39（凝胶电解质）都涉及晶格振动/热稳定性背景；本文的 SMRT/LBTE 方法学是 Deng 课题组热输运线的通用底座。47（MLIP 相稳定性）用 MLIP 产力常数，正好可替换本文 VASP 直接算力的环节（见 Loew 2025）。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引言（p.1-2，Sec. I）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室温及以上温度下，非金属固体热导由声子-声子碰撞（非谐效应）主导（R0）。作者指出：用非谐力常数已能较好复现晶格热导，但"产生热阻的非谐机制本身"仍缺乏系统分析（p.1）。研究对象为闪锌矿型与纤锌矿型两种结构（局域配位相同、仅堆垛顺序不同，类比 fcc 与 hcp），共 33 种元素组合。图 1 显示热导率随"每式量体积"增大而降低的总体趋势，但 CuCl/CuBr/CuI 明显偏离此趋势（p.4-5）。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方法（p.2-4，Sec. II）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声子寿命定义</w:t>
      </w:r>
      <w:r>
        <w:rPr>
          <w:rFonts w:ascii="Times New Roman" w:hAnsi="Times New Roman" w:eastAsia="宋体"/>
          <w:b w:val="0"/>
          <w:sz w:val="24"/>
        </w:rPr>
        <w:t>（Sec. II.A）：晶体势对原子位移展开到三阶（H = Φ₀ + T + H₂ + H₃），三阶系数即非谐力常数。声子寿命由自能虚部 Γλ(ω) 给出，2Γλ(ωλ) 即线宽，其倒数为寿命 τλ = 1/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2Γλ(ωλ)]（Eq.13，p.3）。Γλ 取"类费米黄金规则"形式（Eq.11），含两类散射：decay（衰变，class 2，δ(ω−ωλ′−ωλ′′)）与 collision（碰撞，class 1，δ(ω+ωλ′−ωλ′′)/δ(ω−ωλ′+ωλ′′)）（p.3、p.6）。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热导率</w:t>
      </w:r>
      <w:r>
        <w:rPr>
          <w:rFonts w:ascii="Times New Roman" w:hAnsi="Times New Roman" w:eastAsia="宋体"/>
          <w:b w:val="0"/>
          <w:sz w:val="24"/>
        </w:rPr>
        <w:t>（Sec.II.B）：SMRT 下 κ = (1/NV₀)Σλ Cλ vλ⊗vλ τλ（Eq.14）；并假设弛豫时间 τ_SMRT ≡ 声子寿命 τλ（Eq.18）。作者同时用 Chaput 的 LBTE 直接解（附录 E，碰撞矩阵 Ω 的 Moore-Penrose 逆）做对照，发现对这类化合物 SMRT 与 LBTE 数值差别不大（p.3）。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计算细节</w:t>
      </w:r>
      <w:r>
        <w:rPr>
          <w:rFonts w:ascii="Times New Roman" w:hAnsi="Times New Roman" w:eastAsia="宋体"/>
          <w:b w:val="0"/>
          <w:sz w:val="24"/>
        </w:rPr>
        <w:t>（Sec.II.C，p.4，关键参数范式）：有限位移法（位移 0.03 Å）超胞取二阶/三阶力常数；VASP PAW + GGA-PBE，截断能 500 eV。二阶力常数用 4×4×4 超胞（512 原子，闪锌矿），三阶用 2×2×2 超胞（64 原子）；离子晶体加非解析项校正（NAC，需要 Born 有效电荷与介电常数张量，附录 B）；布里渊区积分用线性四面体法（附录 C）。寿命计算用 96×96×96 网格，热导率积分用 19×19×19 网格（p.4）。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结果与讨论（p.4-8，Sec. III）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线宽分布的三个共性</w:t>
      </w:r>
      <w:r>
        <w:rPr>
          <w:rFonts w:ascii="Times New Roman" w:hAnsi="Times New Roman" w:eastAsia="宋体"/>
          <w:b w:val="0"/>
          <w:sz w:val="24"/>
        </w:rPr>
        <w:t>（p.6）：TA 支线宽小；LA 支出现"绳结状"（knot-like）分布；除 CuCl 外 TO 支线宽大致恒定。CuCl/CuBr 光学支色散异常大，且 LO 支斜率反转（p.5）。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(q,ω) 自能图</w:t>
      </w:r>
      <w:r>
        <w:rPr>
          <w:rFonts w:ascii="Times New Roman" w:hAnsi="Times New Roman" w:eastAsia="宋体"/>
          <w:b w:val="0"/>
          <w:sz w:val="24"/>
        </w:rPr>
        <w:t>（Sec.III.A，p.6-7）：以 ZnTe 为例，自能虚部对波矢依赖弱、对频率依赖强；线宽剖面在 ω≈10 THz 有主峰（来自三声子选择定则），在 ω≈3.5 THz 有次峰，LA 支恰好穿过该次峰 → 解释了 LA 支的绳结线宽（p.6）。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JDOS 与 w-JDOS</w:t>
      </w:r>
      <w:r>
        <w:rPr>
          <w:rFonts w:ascii="Times New Roman" w:hAnsi="Times New Roman" w:eastAsia="宋体"/>
          <w:b w:val="0"/>
          <w:sz w:val="24"/>
        </w:rPr>
        <w:t>（p.6-7）：联合态密度 D₂ 与温度无关、忽略相互作用强度和占据数；加权后 N₂(q,ω)（Eq.23-24）在声子存在的 ω&lt;6 THz 区能"合理复现"自能虚部剖面形状（p.7）。作者据此提出 N₂ 可作热导率粗筛：若声子带以较大群速度穿过（避开）高 N₂ 强度区，则预期低（高）热导（p.7）。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平均线宽</w:t>
      </w:r>
      <w:r>
        <w:rPr>
          <w:rFonts w:ascii="Times New Roman" w:hAnsi="Times New Roman" w:eastAsia="宋体"/>
          <w:b w:val="0"/>
          <w:sz w:val="24"/>
        </w:rPr>
        <w:t>（Sec.III.B，p.7-8）：定义 Γ_ave（Eq.25）。表 I 给出 CuX/ZnX/GaX 的 2Γ_ave：CuCl 1.3、CuBr 4.9×10⁻¹、CuI 3.8×10⁻²、ZnS 1.2×10⁻¹、ZnSe 3.3×10⁻²、ZnTe 2.5×10⁻²、GaP 4.1×10⁻²、GaAs 2.8×10⁻²、GaSb 1.6×10⁻²（单位 THz）。用"平均相互作用"近似算出的 2Γ̃_ave 系统性高估且高估程度不系统，说明相互作用强度与选择定则同样复杂（p.8）。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量化结果</w:t>
      </w:r>
      <w:r>
        <w:rPr>
          <w:rFonts w:ascii="Times New Roman" w:hAnsi="Times New Roman" w:eastAsia="宋体"/>
          <w:b w:val="0"/>
          <w:sz w:val="24"/>
        </w:rPr>
        <w:t>（附录 I，表 IV，p.35）：含同位素散射的 300 K 热导，如 BN 6.48×10²、BAs RTA 1.23×10³ / LBTE 2.94×10³、SiC 3.55×10²、CuCl 1.44、AgI 2.01 W/m·K 等，与实验基本一致（p.2 图 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总结（p.8，Sec. IV）</w:t>
      </w:r>
      <w:r>
        <w:rPr>
          <w:rFonts w:ascii="Times New Roman" w:hAnsi="Times New Roman" w:eastAsia="宋体"/>
          <w:b w:val="0"/>
          <w:sz w:val="24"/>
        </w:rPr>
        <w:t>：同组分闪锌矿/纤锌矿型化合物热导、DOS、线宽分布相似（堆垛顺序影响小）；线宽非光滑分布源于自能虚部"弱波矢依赖 + 强频率依赖"；无完整非谐力常数难以定量预测寿命；但 w-JDOS 可作粗筛。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三阶力常数的计算代价</w:t>
      </w:r>
      <w:r>
        <w:rPr>
          <w:rFonts w:ascii="Times New Roman" w:hAnsi="Times New Roman" w:eastAsia="宋体"/>
          <w:b w:val="0"/>
          <w:sz w:val="24"/>
        </w:rPr>
        <w:t>（R0/R2）：需对超胞做大量有限位移的 DFT 力计算，且由对称性约减后的位移构型数仍庞大（附录 A）；这是热导工作流中最贵、最易出错的环节，也是 Agent 自动化最需监控资源的一步。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布里渊区积分</w:t>
      </w:r>
      <w:r>
        <w:rPr>
          <w:rFonts w:ascii="Times New Roman" w:hAnsi="Times New Roman" w:eastAsia="宋体"/>
          <w:b w:val="0"/>
          <w:sz w:val="24"/>
        </w:rPr>
        <w:t>（R0）：寿命积分原始复杂度 O(n⁶)，靠平移对称与 Δ 函数降到 O(n³)、再靠 Φ 交换对称降到 O(n³/2)，并需点群/时间反演约减（附录 C）——工程实现复杂，参数（网格、smearing vs 四面体）选择影响精度。文中指出 smearing 法会系统性低估寿命与热导（p.11）。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离子晶体的 NAC 校正</w:t>
      </w:r>
      <w:r>
        <w:rPr>
          <w:rFonts w:ascii="Times New Roman" w:hAnsi="Times New Roman" w:eastAsia="宋体"/>
          <w:b w:val="0"/>
          <w:sz w:val="24"/>
        </w:rPr>
        <w:t>（R0）：长程库仑力需 Born 有效电荷与 ε∞，缺之则 Γ 点附近 LO-TO 劈裂失实（附录 B）——对卤化物固态电解质类体系尤其关键。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异常判据的非平凡性</w:t>
      </w:r>
      <w:r>
        <w:rPr>
          <w:rFonts w:ascii="Times New Roman" w:hAnsi="Times New Roman" w:eastAsia="宋体"/>
          <w:b w:val="0"/>
          <w:sz w:val="24"/>
        </w:rPr>
        <w:t>（R2）：线宽"非光滑"是常态而非异常，Agent 需区分"物理突变"（如 Cu 化合物、LO 斜率反转）与"计算误差"，这对"异常转人工"规则设计是难点。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参数范式直接套用</w:t>
      </w:r>
      <w:r>
        <w:rPr>
          <w:rFonts w:ascii="Times New Roman" w:hAnsi="Times New Roman" w:eastAsia="宋体"/>
          <w:b w:val="0"/>
          <w:sz w:val="24"/>
        </w:rPr>
        <w:t>：500 eV 截断、0.03 Å 位移、二阶 4×4×4/三阶 2×2×2 超胞、四面体法 BZ 积分（p.4）可作为课题 22 Agent 的默认参数模板与校验基线。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物理判据清单</w:t>
      </w:r>
      <w:r>
        <w:rPr>
          <w:rFonts w:ascii="Times New Roman" w:hAnsi="Times New Roman" w:eastAsia="宋体"/>
          <w:b w:val="0"/>
          <w:sz w:val="24"/>
        </w:rPr>
        <w:t>：TA 线宽应小、LA 有绳结、TO 大致恒定、自能虚部"弱 q 依赖强 ω 依赖"、w-JDOS 与 2Γ 剖面相似——这些可编码为 Agent 对 phonopy/phono3py 输出（band.yaml、kappa 结果）的</w:t>
      </w:r>
      <w:r>
        <w:rPr>
          <w:rFonts w:ascii="Times New Roman" w:hAnsi="Times New Roman" w:eastAsia="宋体"/>
          <w:b/>
          <w:sz w:val="24"/>
        </w:rPr>
        <w:t>自动 sanity-check 规则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分级策略</w:t>
      </w:r>
      <w:r>
        <w:rPr>
          <w:rFonts w:ascii="Times New Roman" w:hAnsi="Times New Roman" w:eastAsia="宋体"/>
          <w:b w:val="0"/>
          <w:sz w:val="24"/>
        </w:rPr>
        <w:t>：先用谐波量（w-JDOS）粗筛、再上完整非谐计算（R0），可启发 Agent 的"两阶段工作流"与成本控制。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w-JDOS 粗筛思想（只需谐波力常数）与课题 22 用 uMLIP 快速产力常数的思路高度互补：uMLIP 提供低成本谐波+非谐力常数后，Agent 可先用 w-JDOS 预筛候选材料、再定向跑 phono3py，形成"粗筛→精算→异常上报"的流水线（R2）。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本文 2015 年仍用 VASP 有限位移直接算三阶力常数；2025 年 Loew 等已证明 uMLIP 可用（见配套报告），两者串联正好构成课题 22 技术路线的历史坐标。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BAs 高达 ~10³ W/m·K 的预测（表 IV）是当时的热点结果，提示 Agent 在输出异常高值时需交叉核对是否属于已知物理（如强声子聚焦/长寿命），而非一味上报为错误。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