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文献精读报告：First-principles Phonon Calculations with Phonopy and Phono3py（用 Phonopy 与 Phono3py 做第一性原理声子计算）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：Atsushi Togo（都賀淳史，日本国立材料科学研究所 NIMS／京都大学）｜Journal of the Physical Society of Japan 92, 012001 (2023)，Invited Review Papers（特邀综述）｜DOI: 10.7566/JPSJ.92.012001（PDF 内可见，R0）｜收到 2022-07-31，接受 2022-10-17，在线发表 2022-12-06，CC-BY-4.0 授权｜精读日期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一句话定位</w:t>
      </w:r>
      <w:r>
        <w:rPr>
          <w:rFonts w:ascii="Times New Roman" w:hAnsi="Times New Roman" w:eastAsia="宋体"/>
          <w:b w:val="0"/>
          <w:sz w:val="24"/>
        </w:rPr>
        <w:t>：这是 Phonopy/phono3py 作者本人在日本物理学会会刊上撰写的权威综述，系统讲清了从谐波、准谐波到非谐声子计算、再到晶格热导率（LTC）的完整公式体系与工作流，并专门用一整章（第 7 章）讨论"声子计算的自动化"——与课题 22 的 LLM Agent 自动化工作流直接同源。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核心内容</w:t>
      </w:r>
      <w:r>
        <w:rPr>
          <w:rFonts w:ascii="Times New Roman" w:hAnsi="Times New Roman" w:eastAsia="宋体"/>
          <w:b w:val="0"/>
          <w:sz w:val="24"/>
        </w:rPr>
        <w:t>（R0）：综述以有限位移超胞法（finite-displacement supercell approach）为主线，辅以 DFPT 对照（p.2，图 2），逐节给出 phonopy/phono3py 实现中的公式：动力学矩阵与声子坐标（Sec.3.1–3.3）、超胞力常数（Sec.3.4）、非解析项校正 NAC（Sec.3.5）、态密度/有限温度位移/动力学结构因子/热力学量/群速度/不可约表示（Sec.3.6–3.11）；准谐近似下的 Grüneisen 参数、热膨胀、剪切相变（Sec.4）；非谐三阶力常数、声子寿命、谱函数（Sec.5）；以及 LTC 的 RTA、同位素散射、LBTE 直接解（Sec.6）。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主要结论</w:t>
      </w:r>
      <w:r>
        <w:rPr>
          <w:rFonts w:ascii="Times New Roman" w:hAnsi="Times New Roman" w:eastAsia="宋体"/>
          <w:b w:val="0"/>
          <w:sz w:val="24"/>
        </w:rPr>
        <w:t>（R0）：① 谐波/准谐波级的第一性原理声子计算已成为"常规工具"，预测性与实验符合良好（p.2）；② 非谐（三阶力常数）计算通常比谐波贵"几个数量级"，是 LTC 计算的主要瓶颈（p.12、p.14）；③ 声子计算工作流本身是"简单且直截了当"的，其自动化"已在一定程度上实现"，两大用武之地是"批量声子计算"与"多代码耦合的特定算法"（p.16，Sec.7）。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本文是课题 22 的"操作手册级"核心文献，关联最直接、最具体：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直接定义工作流骨架</w:t>
      </w:r>
      <w:r>
        <w:rPr>
          <w:rFonts w:ascii="Times New Roman" w:hAnsi="Times New Roman" w:eastAsia="宋体"/>
          <w:b w:val="0"/>
          <w:sz w:val="24"/>
        </w:rPr>
        <w:t>：Sec.7.1（p.17）给出有限位移法声子计算的 6 步标准流程——① 按晶体学惯例标准化原胞结构 → ② 用第一性原理弛豫几何直至残余力趋于零 → ③ 生成含有限位移的超胞 → ④ 第一性原理算超胞原子力 → ⑤ 由位移-力数据集解超胞力常数 → ⑥ 算声子性质。课题 22 的 Agent 正是要"自动编排 + 监控"这 6 步，本综述为 Agent 的状态机/任务分解提供了权威蓝本（R2）。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提供异常判据的物理来源</w:t>
      </w:r>
      <w:r>
        <w:rPr>
          <w:rFonts w:ascii="Times New Roman" w:hAnsi="Times New Roman" w:eastAsia="宋体"/>
          <w:b w:val="0"/>
          <w:sz w:val="24"/>
        </w:rPr>
        <w:t>：虚频（imaginary phonon frequency）＝结构动力学不稳定（p.4，Sec.3.3）；LTC 的 LBTE/RTA 比值在少数化合物上出现"大幅增大"（p.16，图 22）；smearing 法会系统性低估声子寿命（p.12）。这些可编码为 Agent 的自动校验规则。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给出自动化技术栈</w:t>
      </w:r>
      <w:r>
        <w:rPr>
          <w:rFonts w:ascii="Times New Roman" w:hAnsi="Times New Roman" w:eastAsia="宋体"/>
          <w:b w:val="0"/>
          <w:sz w:val="24"/>
        </w:rPr>
        <w:t>：Sec.7.2–7.3（p.17-18）详述 AiiDA 工作流引擎如何把 phonopy WorkChain 与 VASP WorkChain 串联、数据不可变（immutable）、数据流必须是无环有向图（DAG）——这正是 Agent 做"可追溯、可复现"自动化所需的设计原则。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 7 志愿整体</w:t>
      </w:r>
      <w:r>
        <w:rPr>
          <w:rFonts w:ascii="Times New Roman" w:hAnsi="Times New Roman" w:eastAsia="宋体"/>
          <w:b w:val="0"/>
          <w:sz w:val="24"/>
        </w:rPr>
        <w:t>：本文提到的 phonon 数据库（&gt;10000 结构，p.19）由 Materials Project + pymatgen 驱动，而 Materials Project 正是 Ong（志愿 50/47）的成果；ALM/hiPhive 力常数代码（p.12）与 uMLIP（Loew 2025）是同一"力常数引擎"生态，为志愿 47/22 提供衔接。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内容深度解读（按论文结构）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引言（p.1-2，Sec.1）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声子可被 Raman/IR（近 Γ 点）、非弹中子/非弹 X 射线散射（任意 q 点）测量，第一性原理声子计算是互补工具（p.1）。作者强调两类主流方法：</w:t>
      </w:r>
      <w:r>
        <w:rPr>
          <w:rFonts w:ascii="Times New Roman" w:hAnsi="Times New Roman" w:eastAsia="宋体"/>
          <w:b/>
          <w:sz w:val="24"/>
        </w:rPr>
        <w:t>有限位移超胞法</w:t>
      </w:r>
      <w:r>
        <w:rPr>
          <w:rFonts w:ascii="Times New Roman" w:hAnsi="Times New Roman" w:eastAsia="宋体"/>
          <w:b w:val="0"/>
          <w:sz w:val="24"/>
        </w:rPr>
        <w:t xml:space="preserve">（phonopy 采用）与 </w:t>
      </w:r>
      <w:r>
        <w:rPr>
          <w:rFonts w:ascii="Times New Roman" w:hAnsi="Times New Roman" w:eastAsia="宋体"/>
          <w:b/>
          <w:sz w:val="24"/>
        </w:rPr>
        <w:t>DFPT</w:t>
      </w:r>
      <w:r>
        <w:rPr>
          <w:rFonts w:ascii="Times New Roman" w:hAnsi="Times New Roman" w:eastAsia="宋体"/>
          <w:b w:val="0"/>
          <w:sz w:val="24"/>
        </w:rPr>
        <w:t>（Quantum ESPRESSO/Abinit/ELK 采用），并给出取舍：有限位移法在任意交换关联泛函/赝势/超越 DFT 方法上都可用（各主流 DFT 代码都实现了原子力计算），但只有超胞形状允许的"可公度 q 点"才是精确解、其余靠 Fourier 插值；DFPT 在任意 q 点精确、适合密集采样，但其实现未必覆盖所有泛函（p.2）。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晶体结构与势（p.3，Sec.2）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势能对原子位移做 Taylor 展开到三阶（Eq.1），系数即零阶/一阶/二阶/三阶力常数；一阶力常数 Φ=0（位移以平衡位置为参考），并取 Φ₀=0（p.3）。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谐波声子计算（p.3-9，Sec.3）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简正坐标与动力学矩阵</w:t>
      </w:r>
      <w:r>
        <w:rPr>
          <w:rFonts w:ascii="Times New Roman" w:hAnsi="Times New Roman" w:eastAsia="宋体"/>
          <w:b w:val="0"/>
          <w:sz w:val="24"/>
        </w:rPr>
        <w:t>（Sec.3.1–3.3）：质量约化位移对角化得到 3nₐ×3nₐ 的动力学矩阵 D(q)（Hermitian，用 LAPACK/numpy 求解，Eq.8/12）。若晶体动力学稳定，D(q) 正定（q=0 半正定）；</w:t>
      </w:r>
      <w:r>
        <w:rPr>
          <w:rFonts w:ascii="Times New Roman" w:hAnsi="Times New Roman" w:eastAsia="宋体"/>
          <w:b/>
          <w:sz w:val="24"/>
        </w:rPr>
        <w:t>任何虚频都意味着结构不稳定</w:t>
      </w:r>
      <w:r>
        <w:rPr>
          <w:rFonts w:ascii="Times New Roman" w:hAnsi="Times New Roman" w:eastAsia="宋体"/>
          <w:b w:val="0"/>
          <w:sz w:val="24"/>
        </w:rPr>
        <w:t>（p.4）。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超胞模型</w:t>
      </w:r>
      <w:r>
        <w:rPr>
          <w:rFonts w:ascii="Times New Roman" w:hAnsi="Times New Roman" w:eastAsia="宋体"/>
          <w:b w:val="0"/>
          <w:sz w:val="24"/>
        </w:rPr>
        <w:t>（Sec.3.4）：解线性方程组 −f = Φ·u 得到超胞力常数（Eq.18）。Ti₃SiC₂ 例子显示 2×2×1 与 4×4×1 超胞的声子带在 ~5 THz 局域模区有差别（归因于 Si 原子间长程作用），说明超胞尺寸需按研究目的选择（p.6，图 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NAC</w:t>
      </w:r>
      <w:r>
        <w:rPr>
          <w:rFonts w:ascii="Times New Roman" w:hAnsi="Times New Roman" w:eastAsia="宋体"/>
          <w:b w:val="0"/>
          <w:sz w:val="24"/>
        </w:rPr>
        <w:t>（Sec.3.5）：离子晶体中偶极-偶极长程作用超出超胞范围，phonopy 用介电常数张量与 Born 有效电荷做非解析项校正；NaCl 例子显示 NAC 使近 Γ 点频率抬升、且对高频支影响更大（p.6，图 7）。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其他谐波量</w:t>
      </w:r>
      <w:r>
        <w:rPr>
          <w:rFonts w:ascii="Times New Roman" w:hAnsi="Times New Roman" w:eastAsia="宋体"/>
          <w:b w:val="0"/>
          <w:sz w:val="24"/>
        </w:rPr>
        <w:t>：DOS/投影 DOS（Sec.3.6，四面体法）；有限温度均方位移（Sec.3.7，用于热椭球与 Debye-Waller 因子）；动力学结构因子 S(Q,ω)（Sec.3.8，辅助中子/ X 射线实验选 Q 点）；定容热力学量 F/S/C_V（Sec.3.9）；群速度 v=∂ω/∂q（Sec.3.10，用动力学矩阵导数避免追踪支连接）；不可约表示（Sec.3.11，对比 Bilbao 特征标表）。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准谐波计算（p.9-11，Sec.4）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模式 Grüneisen 参数</w:t>
      </w:r>
      <w:r>
        <w:rPr>
          <w:rFonts w:ascii="Times New Roman" w:hAnsi="Times New Roman" w:eastAsia="宋体"/>
          <w:b w:val="0"/>
          <w:sz w:val="24"/>
        </w:rPr>
        <w:t xml:space="preserve"> γ_qν = −(V/ω)∂ω/∂V（Eq.35）：Al 例子显示频率随体积近似线性（p.9）。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热膨胀</w:t>
      </w:r>
      <w:r>
        <w:rPr>
          <w:rFonts w:ascii="Times New Roman" w:hAnsi="Times New Roman" w:eastAsia="宋体"/>
          <w:b w:val="0"/>
          <w:sz w:val="24"/>
        </w:rPr>
        <w:t>（Sec.4.2）：Gibbs 自由能 G(T,p)=min_V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U_el(V)+F_ha(V,T)+pV]，体积采样点用 Vinet 状态方程拟合，Al 的热膨胀系数与实验符合良好（p.9-10）。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剪切应变下的结构相变</w:t>
      </w:r>
      <w:r>
        <w:rPr>
          <w:rFonts w:ascii="Times New Roman" w:hAnsi="Times New Roman" w:eastAsia="宋体"/>
          <w:b w:val="0"/>
          <w:sz w:val="24"/>
        </w:rPr>
        <w:t>（Sec.4.3）：HCP Ti 的 {10-12} 孪晶模式下，特征声子模在 ~0.7 孪晶切变处频率变虚 → 自发结构转变（p.11，图 14），该研究正是用自动化工作流系统完成的。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非谐声子计算（p.11-13，Sec.5）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三阶力常数</w:t>
      </w:r>
      <w:r>
        <w:rPr>
          <w:rFonts w:ascii="Times New Roman" w:hAnsi="Times New Roman" w:eastAsia="宋体"/>
          <w:b w:val="0"/>
          <w:sz w:val="24"/>
        </w:rPr>
        <w:t>（Sec.5.1）：把 H₃ 变换到声子算符表示（Eq.40-41），phono3py 解 −f = Φ·u·u（Eq.43）；至少需位移两个原子，所需超胞构型远多于谐波，"通常比谐波计算贵几个数量级"（p.12）。可用截断距离忽略长程三阶元以降低成本，或用 ALM/hiPhive 代码（p.12）。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声子寿命</w:t>
      </w:r>
      <w:r>
        <w:rPr>
          <w:rFonts w:ascii="Times New Roman" w:hAnsi="Times New Roman" w:eastAsia="宋体"/>
          <w:b w:val="0"/>
          <w:sz w:val="24"/>
        </w:rPr>
        <w:t>（Sec.5.2）：自能虚部 Γ_λ(ω) 取类费米黄金规则形式（Eq.44），寿命 τ_λ=1/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2Γ_λ(ω_λ)]（Eq.45）。δ 函数可跳过大量 Φ 的计算；BZ 积分用 smearing 或线性四面体法，前者会低估寿命（p.12）。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谱函数</w:t>
      </w:r>
      <w:r>
        <w:rPr>
          <w:rFonts w:ascii="Times New Roman" w:hAnsi="Times New Roman" w:eastAsia="宋体"/>
          <w:b w:val="0"/>
          <w:sz w:val="24"/>
        </w:rPr>
        <w:t>（Sec.5.3）：气泡图谱函数 A_λ(ω)（Eq.46），自能实部用 Kramers-Kronig 关系由虚部求得；KCl（经 SSCHA 重正化）例子显示强非谐下 LO 带展宽、谱形偏离 Lorentz 形（p.13）。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晶格热导率（p.13-16，Sec.6）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RTA</w:t>
      </w:r>
      <w:r>
        <w:rPr>
          <w:rFonts w:ascii="Times New Roman" w:hAnsi="Times New Roman" w:eastAsia="宋体"/>
          <w:b w:val="0"/>
          <w:sz w:val="24"/>
        </w:rPr>
        <w:t>（Sec.6.1）：κ=(1/NV_c)Σ_λ C_λ v_λ⊗v_λ τ_λ（Eq.48）。图 17 显示岩盐/闪锌矿/纤锌矿 40+ 化合物 RTA 计算结果与实验系统性符合（p.14）。α-石英（κ_xx=4.9, κ_zz=10.7）与 α-方石英（6.4/7.6）对比揭示低频声子（&lt;5 THz）主导 LTC，各向异性来自群速度张量（p.14-15，表 I）。声子平均自由程 MFP= v·τ（Eq.54）及累积 κ(l_max)（Eq.55）。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同位素散射</w:t>
      </w:r>
      <w:r>
        <w:rPr>
          <w:rFonts w:ascii="Times New Roman" w:hAnsi="Times New Roman" w:eastAsia="宋体"/>
          <w:b w:val="0"/>
          <w:sz w:val="24"/>
        </w:rPr>
        <w:t>（Sec.6.2）：Tamura 二阶微扰公式（Eq.57），用 Matthiessen 规则 1/τ_total=1/τ+1/τ_iso（Eq.59）并入；对长寿命声子影响更大（p.15）。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LBTE 直接解</w:t>
      </w:r>
      <w:r>
        <w:rPr>
          <w:rFonts w:ascii="Times New Roman" w:hAnsi="Times New Roman" w:eastAsia="宋体"/>
          <w:b w:val="0"/>
          <w:sz w:val="24"/>
        </w:rPr>
        <w:t>（Sec.6.3）：Chaput 方法的碰撞矩阵 Ω（Eq.61）取 Moore-Penrose 逆，矩阵大、求逆耗内存/耗时；利用晶体对称性压缩为 ~Ω（Eq.62-64）对收敛"至关重要"（p.16）。图 22 显示 LBTE 相对 RTA 在少数化合物上热导大幅上升。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声子计算自动化（p.16-19，Sec.7）——本文对课题 22 最关键的一章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作者明确指出：声子计算工作流"简单"，自动化"已在某种程度上实现"，两大场景是"批量计算"与"多代码耦合的特定算法"，所需能力是</w:t>
      </w:r>
      <w:r>
        <w:rPr>
          <w:rFonts w:ascii="Times New Roman" w:hAnsi="Times New Roman" w:eastAsia="宋体"/>
          <w:b/>
          <w:sz w:val="24"/>
        </w:rPr>
        <w:t>鲁棒性（robustness）与系统化数据处理</w:t>
      </w:r>
      <w:r>
        <w:rPr>
          <w:rFonts w:ascii="Times New Roman" w:hAnsi="Times New Roman" w:eastAsia="宋体"/>
          <w:b w:val="0"/>
          <w:sz w:val="24"/>
        </w:rPr>
        <w:t>（p.16）。AiiDA 提供工作流引擎 + 灵活数据库；phonopy 工作流内部调用 VaspWorkChain 求力、Born 电荷与介电常数，所有中间数据以</w:t>
      </w:r>
      <w:r>
        <w:rPr>
          <w:rFonts w:ascii="Times New Roman" w:hAnsi="Times New Roman" w:eastAsia="宋体"/>
          <w:b/>
          <w:sz w:val="24"/>
        </w:rPr>
        <w:t>不可变数据节点</w:t>
      </w:r>
      <w:r>
        <w:rPr>
          <w:rFonts w:ascii="Times New Roman" w:hAnsi="Times New Roman" w:eastAsia="宋体"/>
          <w:b w:val="0"/>
          <w:sz w:val="24"/>
        </w:rPr>
        <w:t>存储、数据流必须为</w:t>
      </w:r>
      <w:r>
        <w:rPr>
          <w:rFonts w:ascii="Times New Roman" w:hAnsi="Times New Roman" w:eastAsia="宋体"/>
          <w:b/>
          <w:sz w:val="24"/>
        </w:rPr>
        <w:t>无环有向图（DAG）</w:t>
      </w:r>
      <w:r>
        <w:rPr>
          <w:rFonts w:ascii="Times New Roman" w:hAnsi="Times New Roman" w:eastAsia="宋体"/>
          <w:b w:val="0"/>
          <w:sz w:val="24"/>
        </w:rPr>
        <w:t xml:space="preserve">，从而保证可复现、历史可追溯（p.17，图 24）。三类自动化应用实例：① </w:t>
      </w:r>
      <w:r>
        <w:rPr>
          <w:rFonts w:ascii="Times New Roman" w:hAnsi="Times New Roman" w:eastAsia="宋体"/>
          <w:b/>
          <w:sz w:val="24"/>
        </w:rPr>
        <w:t>迭代谐波计算</w:t>
      </w:r>
      <w:r>
        <w:rPr>
          <w:rFonts w:ascii="Times New Roman" w:hAnsi="Times New Roman" w:eastAsia="宋体"/>
          <w:b w:val="0"/>
          <w:sz w:val="24"/>
        </w:rPr>
        <w:t xml:space="preserve">做 SSCHA（KCl/NaCl，300 K 随机位移拟合 ALM 力常数直到收敛，p.18）；② </w:t>
      </w:r>
      <w:r>
        <w:rPr>
          <w:rFonts w:ascii="Times New Roman" w:hAnsi="Times New Roman" w:eastAsia="宋体"/>
          <w:b/>
          <w:sz w:val="24"/>
        </w:rPr>
        <w:t>批量高通量</w:t>
      </w:r>
      <w:r>
        <w:rPr>
          <w:rFonts w:ascii="Times New Roman" w:hAnsi="Times New Roman" w:eastAsia="宋体"/>
          <w:b w:val="0"/>
          <w:sz w:val="24"/>
        </w:rPr>
        <w:t xml:space="preserve">：Togo 等建了 &gt;10000 个结构的声子数据库，用 pymatgen 从 Materials Project 取初始结构、筛除非金属非磁性且原胞不过大的体系（p.19）；③ </w:t>
      </w:r>
      <w:r>
        <w:rPr>
          <w:rFonts w:ascii="Times New Roman" w:hAnsi="Times New Roman" w:eastAsia="宋体"/>
          <w:b/>
          <w:sz w:val="24"/>
        </w:rPr>
        <w:t>相变路径递归搜索</w:t>
      </w:r>
      <w:r>
        <w:rPr>
          <w:rFonts w:ascii="Times New Roman" w:hAnsi="Times New Roman" w:eastAsia="宋体"/>
          <w:b w:val="0"/>
          <w:sz w:val="24"/>
        </w:rPr>
        <w:t>：对 Cu 从简单立方 SC 出发，沿虚频本征矢破坏对称、弛豫、再检查动力学稳定，递归直到端点全部稳定（p.19，图 27）。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8. 总结（p.20，Sec.8）</w:t>
      </w:r>
      <w:r>
        <w:rPr>
          <w:rFonts w:ascii="Times New Roman" w:hAnsi="Times New Roman" w:eastAsia="宋体"/>
          <w:b w:val="0"/>
          <w:sz w:val="24"/>
        </w:rPr>
        <w:t>：综述覆盖谐波/准谐波/非谐计算及其自动化应用；部分算例原始数据将公开。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三阶力常数代价</w:t>
      </w:r>
      <w:r>
        <w:rPr>
          <w:rFonts w:ascii="Times New Roman" w:hAnsi="Times New Roman" w:eastAsia="宋体"/>
          <w:b w:val="0"/>
          <w:sz w:val="24"/>
        </w:rPr>
        <w:t>（R0）：比谐波贵几个数量级，且对原胞大原子数的体系，Eq.44 中对三原子组合的 Φ 迭代本身也可成为瓶颈（p.12、p.14）——Agent 需据此做成本估算与超胞/截断参数的权衡。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超胞收敛与 NAC 的判据</w:t>
      </w:r>
      <w:r>
        <w:rPr>
          <w:rFonts w:ascii="Times New Roman" w:hAnsi="Times New Roman" w:eastAsia="宋体"/>
          <w:b w:val="0"/>
          <w:sz w:val="24"/>
        </w:rPr>
        <w:t>（R0）：超胞太小会丢失长程作用（Ti₃SiC₂ 5 THz 局域模），离子体系漏掉 NAC 会扭曲 Γ 点 LO-TO；二者都是"结果看似正常其实有误"的隐蔽错误，需 Agent 主动校验。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LBTE 直接解的资源问题</w:t>
      </w:r>
      <w:r>
        <w:rPr>
          <w:rFonts w:ascii="Times New Roman" w:hAnsi="Times New Roman" w:eastAsia="宋体"/>
          <w:b w:val="0"/>
          <w:sz w:val="24"/>
        </w:rPr>
        <w:t>（R0）：碰撞矩阵求逆内存/耗时巨大，必须用对称压缩形式——对自动化系统的资源调度是挑战。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强非谐体系超出微扰</w:t>
      </w:r>
      <w:r>
        <w:rPr>
          <w:rFonts w:ascii="Times New Roman" w:hAnsi="Times New Roman" w:eastAsia="宋体"/>
          <w:b w:val="0"/>
          <w:sz w:val="24"/>
        </w:rPr>
        <w:t>（R0）：KCl 需 SSCHA 重正化，纯三阶微扰失效——Agent 需能识别何时该切换到更高级方法（R2）。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六步工作流直接作为 Agent 的任务分解模板</w:t>
      </w:r>
      <w:r>
        <w:rPr>
          <w:rFonts w:ascii="Times New Roman" w:hAnsi="Times New Roman" w:eastAsia="宋体"/>
          <w:b w:val="0"/>
          <w:sz w:val="24"/>
        </w:rPr>
        <w:t>（p.17，R0），可映射为 LLM Agent 的 ReAct 动作序列（见配套 ReAct 报告）。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自动化设计原则</w:t>
      </w:r>
      <w:r>
        <w:rPr>
          <w:rFonts w:ascii="Times New Roman" w:hAnsi="Times New Roman" w:eastAsia="宋体"/>
          <w:b w:val="0"/>
          <w:sz w:val="24"/>
        </w:rPr>
        <w:t>：数据不可变 + DAG 数据流（p.17，R0）→ 课题 22 的 Agent 执行日志/中间结果应同样做到可追溯、可复现。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异常检测规则清单</w:t>
      </w:r>
      <w:r>
        <w:rPr>
          <w:rFonts w:ascii="Times New Roman" w:hAnsi="Times New Roman" w:eastAsia="宋体"/>
          <w:b w:val="0"/>
          <w:sz w:val="24"/>
        </w:rPr>
        <w:t>：虚频→结构不稳定；smearing 低估寿命；LBTE/RTA 比值异常；NAC 缺失导致 Γ 点 LO-TO 劈裂失实——均可写成 Agent 的自动 sanity-check（R0/R2）。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技术栈参考</w:t>
      </w:r>
      <w:r>
        <w:rPr>
          <w:rFonts w:ascii="Times New Roman" w:hAnsi="Times New Roman" w:eastAsia="宋体"/>
          <w:b w:val="0"/>
          <w:sz w:val="24"/>
        </w:rPr>
        <w:t>：phonopy/phono3py + AiiDA + pymatgen/Materials Project 的现成组合（p.19），课题 22 可直接复用并替换力常数引擎为 uMLIP。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本文的自动化（AiiDA 工作流）是"规则编排"，无 LLM 参与；课题 22 的增量在于用 LLM 做</w:t>
      </w:r>
      <w:r>
        <w:rPr>
          <w:rFonts w:ascii="Times New Roman" w:hAnsi="Times New Roman" w:eastAsia="宋体"/>
          <w:b/>
          <w:sz w:val="24"/>
        </w:rPr>
        <w:t>动态决策与异常识别</w:t>
      </w:r>
      <w:r>
        <w:rPr>
          <w:rFonts w:ascii="Times New Roman" w:hAnsi="Times New Roman" w:eastAsia="宋体"/>
          <w:b w:val="0"/>
          <w:sz w:val="24"/>
        </w:rPr>
        <w:t>，两者结合可形成"确定性引擎 + 智能调度"的混合架构（R2）。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Togo 的 phonon 数据库（&gt;10000 结构）证明高通量声子计算可行，为 Agent 提供了海量参考基准；Agent 输出的 κ、寿命、群速度可与该库交叉验证（R2）。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从 2015（Togo PRB）到 2023（本文），力常数引擎从纯 DFT 有限位移演进到 ALM/hiPhive，再到 2025 的 uMLIP——课题 22 恰好站在"用 uMLIP 替代 DFT 算力"这一最新节点上，本文的公式体系仍是其上层的计算内核。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