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文献精读报告（网页简版）：聚合物网 · 全固态钠金属电池聚合物电解质界面稳定性进展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来源</w:t>
      </w:r>
      <w:r>
        <w:rPr>
          <w:rFonts w:ascii="Times New Roman" w:hAnsi="Times New Roman" w:eastAsia="宋体"/>
          <w:b w:val="0"/>
          <w:sz w:val="24"/>
        </w:rPr>
        <w:t>：中国聚合物网（polymer.cn）；原定「全固态钠金属电池聚合物电解质界面稳定性进展」专题页未在检索中直接定位，以下据 web_search 检索到的 polymer.cn 页面与相关文献归纳｜精读日期 2026-08-21｜访问方式：web_search（精确专题页未能直接访问，如实注明）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核心内容（约 250 字）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检索命中的聚合物网科教新闻页为</w:t>
      </w:r>
      <w:hyperlink r:id="rId10">
        <w:r>
          <w:rPr>
            <w:rFonts w:ascii="Times New Roman" w:hAnsi="Times New Roman" w:eastAsia="宋体"/>
            <w:sz w:val="24"/>
            <w:color w:val="0563C1"/>
            <w:u w:val="single"/>
          </w:rPr>
          <w:t>「南洋理工范红金教授 Angew：为钠离子电池量身打造的双层聚合物电解质」</w:t>
        </w:r>
      </w:hyperlink>
      <w:r>
        <w:rPr>
          <w:rFonts w:ascii="Times New Roman" w:hAnsi="Times New Roman" w:eastAsia="宋体"/>
          <w:b w:val="0"/>
          <w:sz w:val="24"/>
        </w:rPr>
        <w:t>。综合检索结果，全固态钠金属电池聚合物电解质界面稳定性的前沿进展集中在：</w:t>
      </w:r>
      <w:r>
        <w:rPr>
          <w:rFonts w:ascii="Times New Roman" w:hAnsi="Times New Roman" w:eastAsia="宋体"/>
          <w:b/>
          <w:sz w:val="24"/>
        </w:rPr>
        <w:t>（1）界面离子通道 + 交联网络协同</w:t>
      </w:r>
      <w:r>
        <w:rPr>
          <w:rFonts w:ascii="Times New Roman" w:hAnsi="Times New Roman" w:eastAsia="宋体"/>
          <w:b w:val="0"/>
          <w:sz w:val="24"/>
        </w:rPr>
        <w:t>实现无枝晶钠金属电池；（2）</w:t>
      </w:r>
      <w:r>
        <w:rPr>
          <w:rFonts w:ascii="Times New Roman" w:hAnsi="Times New Roman" w:eastAsia="宋体"/>
          <w:b/>
          <w:sz w:val="24"/>
        </w:rPr>
        <w:t>双层/多层聚合物电解质</w:t>
      </w:r>
      <w:r>
        <w:rPr>
          <w:rFonts w:ascii="Times New Roman" w:hAnsi="Times New Roman" w:eastAsia="宋体"/>
          <w:b w:val="0"/>
          <w:sz w:val="24"/>
        </w:rPr>
        <w:t>分侧优化正负极；（3）</w:t>
      </w:r>
      <w:r>
        <w:rPr>
          <w:rFonts w:ascii="Times New Roman" w:hAnsi="Times New Roman" w:eastAsia="宋体"/>
          <w:b/>
          <w:sz w:val="24"/>
        </w:rPr>
        <w:t>聚合物电偶极调控双电层</w:t>
      </w:r>
      <w:r>
        <w:rPr>
          <w:rFonts w:ascii="Times New Roman" w:hAnsi="Times New Roman" w:eastAsia="宋体"/>
          <w:b w:val="0"/>
          <w:sz w:val="24"/>
        </w:rPr>
        <w:t>稳定界面（Angew. 2025, 64, e202505509）。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与课题关联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课题 23</w:t>
      </w:r>
      <w:r>
        <w:rPr>
          <w:rFonts w:ascii="Times New Roman" w:hAnsi="Times New Roman" w:eastAsia="宋体"/>
          <w:b w:val="0"/>
          <w:sz w:val="24"/>
        </w:rPr>
        <w:t>：聚合物体系「界面通道 + 电偶极调控」与无机非晶界面层「电子绝缘 + 离子导通」目标相通，可跨材料类比。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志愿 39</w:t>
      </w:r>
      <w:r>
        <w:rPr>
          <w:rFonts w:ascii="Times New Roman" w:hAnsi="Times New Roman" w:eastAsia="宋体"/>
          <w:b w:val="0"/>
          <w:sz w:val="24"/>
        </w:rPr>
        <w:t>：直接对应聚合物电解质界面稳定性前沿。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志愿 70</w:t>
      </w:r>
      <w:r>
        <w:rPr>
          <w:rFonts w:ascii="Times New Roman" w:hAnsi="Times New Roman" w:eastAsia="宋体"/>
          <w:b w:val="0"/>
          <w:sz w:val="24"/>
        </w:rPr>
        <w:t>：无枝晶钠金属电池界面设计可参考。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注：精确专题页未直接访问成功，内容据检索结果归纳，已如实标注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yperlink" Target="http://www.polymer.cn/SCI/kjxw21177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