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r>
        <w:rPr>
          <w:rFonts w:ascii="宋体" w:hAnsi="宋体" w:eastAsia="宋体"/>
          <w:b/>
          <w:sz w:val="44"/>
        </w:rPr>
        <w:t>文献精读报告：Halide-based solid electrolytes: The history, progress, and challenges</w:t>
      </w:r>
    </w:p>
    <w:p/>
    <w:p/>
    <w:p/>
    <w:p/>
    <w:p/>
    <w:p/>
    <w:p/>
    <w:p/>
    <w:p/>
    <w:p/>
    <w:p/>
    <w:p/>
    <w:p/>
    <w:p/>
    <w:p>
      <w:pPr>
        <w:jc w:val="center"/>
      </w:pPr>
      <w:r>
        <w:rPr>
          <w:rFonts w:ascii="宋体" w:hAnsi="宋体" w:eastAsia="宋体"/>
          <w:sz w:val="24"/>
        </w:rPr>
        <w:t>编制日期：2026年08月21日</w:t>
      </w:r>
    </w:p>
    <w:p/>
    <w:p>
      <w:r>
        <w:br w:type="page"/>
      </w:r>
    </w:p>
    <w:p>
      <w:pPr>
        <w:spacing w:before="120" w:after="120"/>
        <w:ind w:left="567" w:right="567"/>
        <w:pBdr>
          <w:left w:val="single" w:sz="12" w:color="6366F1"/>
        </w:pBdr>
      </w:pPr>
      <w:r>
        <w:rPr>
          <w:rFonts w:ascii="Times New Roman" w:hAnsi="Times New Roman" w:eastAsia="宋体"/>
          <w:b/>
          <w:sz w:val="24"/>
        </w:rPr>
        <w:t>元信息</w:t>
      </w:r>
      <w:r>
        <w:rPr>
          <w:rFonts w:ascii="Times New Roman" w:hAnsi="Times New Roman" w:eastAsia="宋体"/>
          <w:b w:val="0"/>
          <w:sz w:val="24"/>
        </w:rPr>
        <w:t>：Xianhui Nie, Jiulin Hu, Chilin Li（中国科学院上海硅酸盐研究所）｜</w:t>
      </w:r>
      <w:r>
        <w:rPr>
          <w:rFonts w:ascii="Times New Roman" w:hAnsi="Times New Roman" w:eastAsia="宋体"/>
          <w:b w:val="0"/>
          <w:i/>
          <w:sz w:val="24"/>
        </w:rPr>
        <w:t>Interdisciplinary Materials</w:t>
      </w:r>
      <w:r>
        <w:rPr>
          <w:rFonts w:ascii="Times New Roman" w:hAnsi="Times New Roman" w:eastAsia="宋体"/>
          <w:b w:val="0"/>
          <w:sz w:val="24"/>
        </w:rPr>
        <w:t xml:space="preserve"> 2023;2:365–389｜DOI: 10.1002/idm2.12090（开放获取）｜精读日期 2026-08-21</w:t>
      </w:r>
    </w:p>
    <w:p>
      <w:pPr>
        <w:spacing w:before="120" w:after="120"/>
        <w:ind w:left="567" w:right="567"/>
        <w:pBdr>
          <w:left w:val="single" w:sz="12" w:color="6366F1"/>
        </w:pBdr>
      </w:pPr>
      <w:r>
        <w:rPr>
          <w:rFonts w:ascii="Times New Roman" w:hAnsi="Times New Roman" w:eastAsia="宋体"/>
          <w:b w:val="0"/>
          <w:sz w:val="24"/>
        </w:rPr>
        <w:t>证据分级：R0=原文事实（附页码/章节锚点）｜R1=外部背景知识｜R2=推断/评价</w:t>
      </w:r>
    </w:p>
    <w:p/>
    <w:p>
      <w:pPr>
        <w:pStyle w:val="2"/>
        <w:pageBreakBefore w:val="0"/>
      </w:pPr>
      <w:r>
        <w:rPr>
          <w:rFonts w:ascii="Times New Roman" w:hAnsi="Times New Roman" w:eastAsia="宋体"/>
          <w:b/>
          <w:sz w:val="44"/>
        </w:rPr>
        <w:t>1. 文献速览总结</w:t>
      </w:r>
    </w:p>
    <w:p>
      <w:pPr>
        <w:spacing w:line="360" w:lineRule="auto"/>
        <w:ind w:firstLine="420"/>
      </w:pPr>
      <w:r>
        <w:rPr>
          <w:rFonts w:ascii="Times New Roman" w:hAnsi="Times New Roman" w:eastAsia="宋体"/>
          <w:b/>
          <w:sz w:val="24"/>
        </w:rPr>
        <w:t>一句话定位</w:t>
      </w:r>
      <w:r>
        <w:rPr>
          <w:rFonts w:ascii="Times New Roman" w:hAnsi="Times New Roman" w:eastAsia="宋体"/>
          <w:b w:val="0"/>
          <w:sz w:val="24"/>
        </w:rPr>
        <w:t>：这是中国科学院上海硅酸盐所李驰麟团队撰写的一篇卤化物固态电解质（halide solid electrolytes, Halide SEs）综述，系统梳理了卤化物 SE 从历史、结构、合成、稳定性到界面工程的完整脉络。</w:t>
      </w:r>
    </w:p>
    <w:p>
      <w:pPr>
        <w:spacing w:line="360" w:lineRule="auto"/>
        <w:ind w:firstLine="420"/>
      </w:pPr>
      <w:r>
        <w:rPr>
          <w:rFonts w:ascii="Times New Roman" w:hAnsi="Times New Roman" w:eastAsia="宋体"/>
          <w:b/>
          <w:sz w:val="24"/>
        </w:rPr>
        <w:t>核心内容</w:t>
      </w:r>
      <w:r>
        <w:rPr>
          <w:rFonts w:ascii="Times New Roman" w:hAnsi="Times New Roman" w:eastAsia="宋体"/>
          <w:b w:val="0"/>
          <w:sz w:val="24"/>
        </w:rPr>
        <w:t>：综述将卤化物 SE 分为氟化物、氯化物、溴化物、碘化物四大类，围绕（1）结构与离子电导率、（2）合成方法（球磨、固相烧结、液相合成）、（3）化学/电化学稳定性、（4）三类界面问题（晶界、正极–电解质、电解质–锂金属负极）、（5）先进表征技术五条主线展开。</w:t>
      </w:r>
    </w:p>
    <w:p>
      <w:pPr>
        <w:spacing w:line="360" w:lineRule="auto"/>
        <w:ind w:firstLine="420"/>
      </w:pPr>
      <w:r>
        <w:rPr>
          <w:rFonts w:ascii="Times New Roman" w:hAnsi="Times New Roman" w:eastAsia="宋体"/>
          <w:b/>
          <w:sz w:val="24"/>
        </w:rPr>
        <w:t>主要结论</w:t>
      </w:r>
      <w:r>
        <w:rPr>
          <w:rFonts w:ascii="Times New Roman" w:hAnsi="Times New Roman" w:eastAsia="宋体"/>
          <w:b w:val="0"/>
          <w:sz w:val="24"/>
        </w:rPr>
        <w:t>：卤化物 SE 因室温离子电导率（&gt;10⁻³ S cm⁻¹）、对氧化物正极的良好相容性、可规模化而成为锂金属固态电池（LMSBs）最具前景的候选之一；但其核心短板是</w:t>
      </w:r>
      <w:r>
        <w:rPr>
          <w:rFonts w:ascii="Times New Roman" w:hAnsi="Times New Roman" w:eastAsia="宋体"/>
          <w:b/>
          <w:sz w:val="24"/>
        </w:rPr>
        <w:t>对锂金属的热力学不稳定性</w:t>
      </w:r>
      <w:r>
        <w:rPr>
          <w:rFonts w:ascii="Times New Roman" w:hAnsi="Times New Roman" w:eastAsia="宋体"/>
          <w:b w:val="0"/>
          <w:sz w:val="24"/>
        </w:rPr>
        <w:t>（中心金属阳离子被还原为金属态，形成混合导电界面层）与吸湿性，F 取代/氟化物 SE 是作者认为最值得深耕的方向。</w:t>
      </w:r>
    </w:p>
    <w:p/>
    <w:p>
      <w:r>
        <w:br w:type="page"/>
      </w:r>
    </w:p>
    <w:p>
      <w:pPr>
        <w:pStyle w:val="2"/>
        <w:pageBreakBefore w:val="0"/>
      </w:pPr>
      <w:r>
        <w:rPr>
          <w:rFonts w:ascii="Times New Roman" w:hAnsi="Times New Roman" w:eastAsia="宋体"/>
          <w:b/>
          <w:sz w:val="44"/>
        </w:rPr>
        <w:t>2. 课题关联分析</w:t>
      </w:r>
    </w:p>
    <w:p>
      <w:pPr>
        <w:spacing w:line="360" w:lineRule="auto"/>
        <w:ind w:firstLine="420"/>
      </w:pPr>
      <w:r>
        <w:rPr>
          <w:rFonts w:ascii="Times New Roman" w:hAnsi="Times New Roman" w:eastAsia="宋体"/>
          <w:b w:val="0"/>
          <w:sz w:val="24"/>
        </w:rPr>
        <w:t>本综述是课题 23「卤化物 SSE 界面层计算」最直接的</w:t>
      </w:r>
      <w:r>
        <w:rPr>
          <w:rFonts w:ascii="Times New Roman" w:hAnsi="Times New Roman" w:eastAsia="宋体"/>
          <w:b/>
          <w:sz w:val="24"/>
        </w:rPr>
        <w:t>背景地基文献</w:t>
      </w:r>
      <w:r>
        <w:rPr>
          <w:rFonts w:ascii="Times New Roman" w:hAnsi="Times New Roman" w:eastAsia="宋体"/>
          <w:b w:val="0"/>
          <w:sz w:val="24"/>
        </w:rPr>
        <w:t>。课题 23 用 DFT + MLIP 设计 TaCl₅/NbCl₅ 非晶界面层来稳定 Li₂ZrCl₆ 与锂金属的界面，恰好命中本综述第 5.3 节（Li 金属负极–卤化物 SE 界面，R0，原文第 1515–1619 行/页 18–19）所指出的核心痛点：卤化物 SE 与锂金属接触时中心金属 Mˣ⁺ 被还原为 M⁰，形成电子-离子混合导电界面层，界面电阻持续增长直至短路。这为毕设「为什么要做界面层」提供了权威动机。文中提到的三种界面构型（稳定二维界面 / 离子导电型 SEI / 混合导电型界面，R0，页 18）正是课题 23 界面层设计要规避的第三种情形。此外，第 5.3 节关于 F 取代（Li₃YBr₅.₇F₀.₃）与 Li₂ZrF₅Cl 生成 LiF 钝化层的论述（R0，页 19），为理解「界面层应电子绝缘、离子导通」的设计准则提供了直接参照。对 7 志愿整体而言，本篇是 50（卤化物液相合成）与 24（Li₃PS₄ 离子传导）的交叉背景，也呼应 70/39 等其它电解质体系中共通的界面稳定性命题。</w:t>
      </w:r>
    </w:p>
    <w:p/>
    <w:p>
      <w:r>
        <w:br w:type="page"/>
      </w:r>
    </w:p>
    <w:p>
      <w:pPr>
        <w:pStyle w:val="2"/>
        <w:pageBreakBefore w:val="0"/>
      </w:pPr>
      <w:r>
        <w:rPr>
          <w:rFonts w:ascii="Times New Roman" w:hAnsi="Times New Roman" w:eastAsia="宋体"/>
          <w:b/>
          <w:sz w:val="44"/>
        </w:rPr>
        <w:t>3. 内容深度解读（按论文自身结构）</w:t>
      </w:r>
    </w:p>
    <w:p>
      <w:pPr>
        <w:spacing w:line="360" w:lineRule="auto"/>
        <w:ind w:firstLine="420"/>
      </w:pPr>
      <w:r>
        <w:rPr>
          <w:rFonts w:ascii="Times New Roman" w:hAnsi="Times New Roman" w:eastAsia="宋体"/>
          <w:b/>
          <w:sz w:val="24"/>
        </w:rPr>
        <w:t>1. 引言（页 1–3）</w:t>
      </w:r>
      <w:r>
        <w:rPr>
          <w:rFonts w:ascii="Times New Roman" w:hAnsi="Times New Roman" w:eastAsia="宋体"/>
          <w:b w:val="0"/>
          <w:sz w:val="24"/>
        </w:rPr>
        <w:t>：从液态 LIB 的安全/能量密度瓶颈引入锂金属负极（理论容量 3860 mAh g⁻¹，电位 −3.040 V vs SHE，R0，页 2），指出氧化物 SE 晶界阻抗高、硫化物 SE 稳定性差，卤化物 SE 由此重新兴起。关键时间节点：1976 年 LiAlCl₄ 仅 1.2×10⁻⁶ S cm⁻¹（R0，页 2）；</w:t>
      </w:r>
      <w:r>
        <w:rPr>
          <w:rFonts w:ascii="Times New Roman" w:hAnsi="Times New Roman" w:eastAsia="宋体"/>
          <w:b/>
          <w:sz w:val="24"/>
        </w:rPr>
        <w:t>2018 年 Asano 等报道 Li₃YCl₆（5.1×10⁻⁴ S cm⁻¹）与 Li₃YBr₆（1.7×10⁻³ S cm⁻¹）</w:t>
      </w:r>
      <w:r>
        <w:rPr>
          <w:rFonts w:ascii="Times New Roman" w:hAnsi="Times New Roman" w:eastAsia="宋体"/>
          <w:b w:val="0"/>
          <w:sz w:val="24"/>
        </w:rPr>
        <w:t xml:space="preserve">（R0，页 2），卤化物 SE 由此重回焦点；电化学稳定窗口可达 </w:t>
      </w:r>
      <w:r>
        <w:rPr>
          <w:rFonts w:ascii="Times New Roman" w:hAnsi="Times New Roman" w:eastAsia="宋体"/>
          <w:b/>
          <w:sz w:val="24"/>
        </w:rPr>
        <w:t>6.71 V vs Li/Li⁺</w:t>
      </w:r>
      <w:r>
        <w:rPr>
          <w:rFonts w:ascii="Times New Roman" w:hAnsi="Times New Roman" w:eastAsia="宋体"/>
          <w:b w:val="0"/>
          <w:sz w:val="24"/>
        </w:rPr>
        <w:t>（R0，页 2）。</w:t>
      </w:r>
    </w:p>
    <w:p>
      <w:pPr>
        <w:spacing w:line="360" w:lineRule="auto"/>
        <w:ind w:firstLine="420"/>
      </w:pPr>
      <w:r>
        <w:rPr>
          <w:rFonts w:ascii="Times New Roman" w:hAnsi="Times New Roman" w:eastAsia="宋体"/>
          <w:b/>
          <w:sz w:val="24"/>
        </w:rPr>
        <w:t>2. 结构与离子电导（页 3–10）</w:t>
      </w:r>
      <w:r>
        <w:rPr>
          <w:rFonts w:ascii="Times New Roman" w:hAnsi="Times New Roman" w:eastAsia="宋体"/>
          <w:b w:val="0"/>
          <w:sz w:val="24"/>
        </w:rPr>
        <w:t>：2.1 节追溯 1930s 起 LiX（X=F,Cl,Br,I）电导率 &lt;10⁻⁷ S cm⁻¹ 的历史。2.2/2.3 节分类讨论金属卤化物 Li–M–X 的结构（三角/单斜/正交等）与氟化物晶体结构。总结处引用第一性原理计算（Wang 等，</w:t>
      </w:r>
      <w:r>
        <w:rPr>
          <w:rFonts w:ascii="Times New Roman" w:hAnsi="Times New Roman" w:eastAsia="宋体"/>
          <w:b w:val="0"/>
          <w:sz w:val="24"/>
        </w:rPr>
        <w:t>[</w:t>
      </w:r>
      <w:r>
        <w:rPr>
          <w:rFonts w:ascii="Times New Roman" w:hAnsi="Times New Roman" w:eastAsia="宋体"/>
          <w:b w:val="0"/>
          <w:sz w:val="24"/>
        </w:rPr>
        <w:t>56]）：因卤素阴离子的 hcp/ccp 阴离子骨架，卤化物比氧化物/硫化物更利于 Li⁺ 传导（R0，页 21）。</w:t>
      </w:r>
    </w:p>
    <w:p>
      <w:pPr>
        <w:spacing w:line="360" w:lineRule="auto"/>
        <w:ind w:firstLine="420"/>
      </w:pPr>
      <w:r>
        <w:rPr>
          <w:rFonts w:ascii="Times New Roman" w:hAnsi="Times New Roman" w:eastAsia="宋体"/>
          <w:b/>
          <w:sz w:val="24"/>
        </w:rPr>
        <w:t>3. 合成方法（页 10–12）</w:t>
      </w:r>
      <w:r>
        <w:rPr>
          <w:rFonts w:ascii="Times New Roman" w:hAnsi="Times New Roman" w:eastAsia="宋体"/>
          <w:b w:val="0"/>
          <w:sz w:val="24"/>
        </w:rPr>
        <w:t>：3.1 室温机械球磨、3.2 高温固相反应、3.3 液相合成。液相合成因能耗低、粒径均匀、周期短、可放大而被视为更优路线（R0，页 21 总结），但产物种类仍有限——这与毕设志愿 50（液相合成）直接呼应。</w:t>
      </w:r>
    </w:p>
    <w:p>
      <w:pPr>
        <w:spacing w:line="360" w:lineRule="auto"/>
        <w:ind w:firstLine="420"/>
      </w:pPr>
      <w:r>
        <w:rPr>
          <w:rFonts w:ascii="Times New Roman" w:hAnsi="Times New Roman" w:eastAsia="宋体"/>
          <w:b/>
          <w:sz w:val="24"/>
        </w:rPr>
        <w:t>4. 化学稳定性（页 12–13）</w:t>
      </w:r>
      <w:r>
        <w:rPr>
          <w:rFonts w:ascii="Times New Roman" w:hAnsi="Times New Roman" w:eastAsia="宋体"/>
          <w:b w:val="0"/>
          <w:sz w:val="24"/>
        </w:rPr>
        <w:t>：氯化物/溴化物高电导但吸湿、还原稳定性差；氟化物电化学窗口最宽、空气稳定性最好但室温电导率令人失望。</w:t>
      </w:r>
    </w:p>
    <w:p>
      <w:pPr>
        <w:spacing w:line="360" w:lineRule="auto"/>
        <w:ind w:firstLine="420"/>
      </w:pPr>
      <w:r>
        <w:rPr>
          <w:rFonts w:ascii="Times New Roman" w:hAnsi="Times New Roman" w:eastAsia="宋体"/>
          <w:b/>
          <w:sz w:val="24"/>
        </w:rPr>
        <w:t>5. 界面问题（页 13–18，课题 23 重点）</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5.1 晶界（grain boundary）电阻不可忽略；</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5.2 正极–电解质界面（对氧化物正极相容性好）；</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5.3 锂金属负极界面：区分三种界面（R0，页 18 图 8F）——(a) 热力学稳定形成清晰二维界面（如 LLZO）；(b) 热力学不稳定但反应层为电子绝缘的离子导体，类似商用 LIB 的 SEI（如 Li₆PS₅Cl）；(c) 热力学不稳定且反应层为</w:t>
      </w:r>
      <w:r>
        <w:rPr>
          <w:rFonts w:ascii="Times New Roman" w:hAnsi="Times New Roman" w:eastAsia="宋体"/>
          <w:b/>
          <w:sz w:val="24"/>
        </w:rPr>
        <w:t>电子-离子混合导体</w:t>
      </w:r>
      <w:r>
        <w:rPr>
          <w:rFonts w:ascii="Times New Roman" w:hAnsi="Times New Roman" w:eastAsia="宋体"/>
          <w:b w:val="0"/>
          <w:sz w:val="24"/>
        </w:rPr>
        <w:t>，会持续增厚并最终短路。</w:t>
      </w:r>
      <w:r>
        <w:rPr>
          <w:rFonts w:ascii="Times New Roman" w:hAnsi="Times New Roman" w:eastAsia="宋体"/>
          <w:b/>
          <w:sz w:val="24"/>
        </w:rPr>
        <w:t>金属卤化物 SE 普遍落入第 (c) 种情形</w:t>
      </w:r>
      <w:r>
        <w:rPr>
          <w:rFonts w:ascii="Times New Roman" w:hAnsi="Times New Roman" w:eastAsia="宋体"/>
          <w:b w:val="0"/>
          <w:sz w:val="24"/>
        </w:rPr>
        <w:t>（Mˣ⁺→M⁰）。Riegger 等用原位 XPS + 阻抗谱证明 Li₃InCl₆/Li₃YCl₆ 与 Li 界面持续增厚（R0，页 18）。对策：引入 Li₆PS₅Cl、β-Li₃N、Li₃PO₄ 界面层；</w:t>
      </w:r>
      <w:r>
        <w:rPr>
          <w:rFonts w:ascii="Times New Roman" w:hAnsi="Times New Roman" w:eastAsia="宋体"/>
          <w:b/>
          <w:sz w:val="24"/>
        </w:rPr>
        <w:t>氟化策略</w:t>
      </w:r>
      <w:r>
        <w:rPr>
          <w:rFonts w:ascii="Times New Roman" w:hAnsi="Times New Roman" w:eastAsia="宋体"/>
          <w:b w:val="0"/>
          <w:sz w:val="24"/>
        </w:rPr>
        <w:t>——Li₃YBr₅.₇F₀.₃（1.8×10⁻³ S cm⁻¹）可原位生成富 F 界面，Li 对称电池在 0.75 mA cm⁻²/0.75 mAh cm⁻² 下稳定循环 &gt;1000 h（R0，页 18–19）；Li₂ZrF₅Cl 与 Li 接触生成 LiF 界面层，阻断电子而保留 Li⁺ 通路（R0，页 19）。</w:t>
      </w:r>
    </w:p>
    <w:p>
      <w:pPr>
        <w:spacing w:line="360" w:lineRule="auto"/>
        <w:ind w:firstLine="420"/>
      </w:pPr>
      <w:r>
        <w:rPr>
          <w:rFonts w:ascii="Times New Roman" w:hAnsi="Times New Roman" w:eastAsia="宋体"/>
          <w:b/>
          <w:sz w:val="24"/>
        </w:rPr>
        <w:t>6. 先进表征（页 18–19）</w:t>
      </w:r>
      <w:r>
        <w:rPr>
          <w:rFonts w:ascii="Times New Roman" w:hAnsi="Times New Roman" w:eastAsia="宋体"/>
          <w:b w:val="0"/>
          <w:sz w:val="24"/>
        </w:rPr>
        <w:t>：6.1 电化学表征、6.2 显微观察、6.3 化学组分分析，强调原位表征对理解界面形成不可或缺（R0，页 19）。</w:t>
      </w:r>
    </w:p>
    <w:p>
      <w:pPr>
        <w:spacing w:line="360" w:lineRule="auto"/>
        <w:ind w:firstLine="420"/>
      </w:pPr>
      <w:r>
        <w:rPr>
          <w:rFonts w:ascii="Times New Roman" w:hAnsi="Times New Roman" w:eastAsia="宋体"/>
          <w:b/>
          <w:sz w:val="24"/>
        </w:rPr>
        <w:t>7. 总结与展望（页 21–22）</w:t>
      </w:r>
      <w:r>
        <w:rPr>
          <w:rFonts w:ascii="Times New Roman" w:hAnsi="Times New Roman" w:eastAsia="宋体"/>
          <w:b w:val="0"/>
          <w:sz w:val="24"/>
        </w:rPr>
        <w:t>：提出五个方向：(1) 发展高电导氟化物 SE（可支持 &gt;4.8 V 截止电压正极）；(2) 更适用的合成方法；(3) 改善空气稳定性（吸湿是除氟化物外的通病）；(4) 改善电化学稳定性（构建人工 SEI、F 取代）；(5) 全固态软包电池突破。作者明确预测「氟化物 SE 是研究者苦苦寻找的答案」（R0，页 21）。</w:t>
      </w:r>
    </w:p>
    <w:p/>
    <w:p>
      <w:r>
        <w:br w:type="page"/>
      </w:r>
    </w:p>
    <w:p>
      <w:pPr>
        <w:pStyle w:val="2"/>
        <w:pageBreakBefore w:val="0"/>
      </w:pPr>
      <w:r>
        <w:rPr>
          <w:rFonts w:ascii="Times New Roman" w:hAnsi="Times New Roman" w:eastAsia="宋体"/>
          <w:b/>
          <w:sz w:val="44"/>
        </w:rPr>
        <w:t>4. 技术难点识别</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卤化物 SE 对锂金属的热力学不稳定性</w:t>
      </w:r>
      <w:r>
        <w:rPr>
          <w:rFonts w:ascii="Times New Roman" w:hAnsi="Times New Roman" w:eastAsia="宋体"/>
          <w:b w:val="0"/>
          <w:sz w:val="24"/>
        </w:rPr>
        <w:t>是最大瓶颈：中心金属还原生成混合导电层，界面电阻随时间增长（R0，页 18）。</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吸湿性</w:t>
      </w:r>
      <w:r>
        <w:rPr>
          <w:rFonts w:ascii="Times New Roman" w:hAnsi="Times New Roman" w:eastAsia="宋体"/>
          <w:b w:val="0"/>
          <w:sz w:val="24"/>
        </w:rPr>
        <w:t>：氯化物/溴化物普遍遇水分解，制约工业化（R0，页 21）。</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晶界阻抗</w:t>
      </w:r>
      <w:r>
        <w:rPr>
          <w:rFonts w:ascii="Times New Roman" w:hAnsi="Times New Roman" w:eastAsia="宋体"/>
          <w:b w:val="0"/>
          <w:sz w:val="24"/>
        </w:rPr>
        <w:t>不可忽略，多晶样品的总电导被晶界拖累（R0，页 13–14）。</w:t>
      </w:r>
    </w:p>
    <w:p>
      <w:pPr>
        <w:spacing w:line="360" w:lineRule="auto"/>
        <w:ind w:left="420"/>
      </w:pPr>
      <w:r>
        <w:rPr>
          <w:rFonts w:ascii="Times New Roman" w:hAnsi="Times New Roman" w:eastAsia="宋体"/>
          <w:b w:val="0"/>
          <w:sz w:val="24"/>
        </w:rPr>
        <w:t xml:space="preserve">4. </w:t>
      </w:r>
      <w:r>
        <w:rPr>
          <w:rFonts w:ascii="Times New Roman" w:hAnsi="Times New Roman" w:eastAsia="宋体"/>
          <w:b w:val="0"/>
          <w:sz w:val="24"/>
        </w:rPr>
        <w:t>界面层（如 Li₆PS₅Cl、Li₃N）虽有效但使制程复杂、不利于规模化（R0，页 18）；卤化物–硫化物间还存在阴离子互迁导致的界面钝化/失稳风险（R0，页 18）。</w:t>
      </w:r>
    </w:p>
    <w:p>
      <w:pPr>
        <w:spacing w:line="360" w:lineRule="auto"/>
        <w:ind w:left="420"/>
      </w:pPr>
      <w:r>
        <w:rPr>
          <w:rFonts w:ascii="Times New Roman" w:hAnsi="Times New Roman" w:eastAsia="宋体"/>
          <w:b w:val="0"/>
          <w:sz w:val="24"/>
        </w:rPr>
        <w:t xml:space="preserve">5. </w:t>
      </w:r>
      <w:r>
        <w:rPr>
          <w:rFonts w:ascii="Times New Roman" w:hAnsi="Times New Roman" w:eastAsia="宋体"/>
          <w:b w:val="0"/>
          <w:sz w:val="24"/>
        </w:rPr>
        <w:t>表征层面：固-固埋藏界面难以无损暴露，原位表征门槛高（R0，页 19）。</w:t>
      </w:r>
    </w:p>
    <w:p/>
    <w:p>
      <w:r>
        <w:br w:type="page"/>
      </w:r>
    </w:p>
    <w:p>
      <w:pPr>
        <w:pStyle w:val="2"/>
        <w:pageBreakBefore w:val="0"/>
      </w:pPr>
      <w:r>
        <w:rPr>
          <w:rFonts w:ascii="Times New Roman" w:hAnsi="Times New Roman" w:eastAsia="宋体"/>
          <w:b/>
          <w:sz w:val="44"/>
        </w:rPr>
        <w:t>5. 可借鉴点（对毕设/学习直接有用）</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界面三分类框架</w:t>
      </w:r>
      <w:r>
        <w:rPr>
          <w:rFonts w:ascii="Times New Roman" w:hAnsi="Times New Roman" w:eastAsia="宋体"/>
          <w:b w:val="0"/>
          <w:sz w:val="24"/>
        </w:rPr>
        <w:t>（页 18 图 8F）可作为课题 23 报告的理论骨架，用它来论证「TaCl₅/NbCl₅ 界面层要把第 (c) 类混合导电界面改造成第 (b) 类电子绝缘、离子导通的稳定 SEI」。</w:t>
      </w:r>
    </w:p>
    <w:p>
      <w:pPr>
        <w:spacing w:line="360" w:lineRule="auto"/>
        <w:ind w:left="420"/>
      </w:pPr>
      <w:r>
        <w:rPr>
          <w:rFonts w:ascii="Times New Roman" w:hAnsi="Times New Roman" w:eastAsia="宋体"/>
          <w:b w:val="0"/>
          <w:sz w:val="24"/>
        </w:rPr>
        <w:t xml:space="preserve">2. </w:t>
      </w:r>
      <w:r>
        <w:rPr>
          <w:rFonts w:ascii="Times New Roman" w:hAnsi="Times New Roman" w:eastAsia="宋体"/>
          <w:b w:val="0"/>
          <w:sz w:val="24"/>
        </w:rPr>
        <w:t>关键材料数据可直接引用：Li₂ZrCl₆ 所属的氯化物家族、Li₃YCl₆/Li₃YBr₆ 电导率、6.71 V 电化学窗口等（R0，页 2）。</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F 取代/LiF 钝化机理</w:t>
      </w:r>
      <w:r>
        <w:rPr>
          <w:rFonts w:ascii="Times New Roman" w:hAnsi="Times New Roman" w:eastAsia="宋体"/>
          <w:b w:val="0"/>
          <w:sz w:val="24"/>
        </w:rPr>
        <w:t>（页 19）为界面层设计的「电子阻断、离子导通」原理提供了可迁移的设计思想。</w:t>
      </w:r>
    </w:p>
    <w:p>
      <w:pPr>
        <w:spacing w:line="360" w:lineRule="auto"/>
        <w:ind w:left="420"/>
      </w:pPr>
      <w:r>
        <w:rPr>
          <w:rFonts w:ascii="Times New Roman" w:hAnsi="Times New Roman" w:eastAsia="宋体"/>
          <w:b w:val="0"/>
          <w:sz w:val="24"/>
        </w:rPr>
        <w:t xml:space="preserve">4. </w:t>
      </w:r>
      <w:r>
        <w:rPr>
          <w:rFonts w:ascii="Times New Roman" w:hAnsi="Times New Roman" w:eastAsia="宋体"/>
          <w:b w:val="0"/>
          <w:sz w:val="24"/>
        </w:rPr>
        <w:t>原位 XPS + 阻抗谱是验证界面稳定性的标准实验手段（页 18），可作为毕设计算结果对照实验的参照。</w:t>
      </w:r>
    </w:p>
    <w:p>
      <w:pPr>
        <w:spacing w:line="360" w:lineRule="auto"/>
        <w:ind w:left="420"/>
      </w:pPr>
      <w:r>
        <w:rPr>
          <w:rFonts w:ascii="Times New Roman" w:hAnsi="Times New Roman" w:eastAsia="宋体"/>
          <w:b w:val="0"/>
          <w:sz w:val="24"/>
        </w:rPr>
        <w:t xml:space="preserve">5. </w:t>
      </w:r>
      <w:r>
        <w:rPr>
          <w:rFonts w:ascii="Times New Roman" w:hAnsi="Times New Roman" w:eastAsia="宋体"/>
          <w:b w:val="0"/>
          <w:sz w:val="24"/>
        </w:rPr>
        <w:t>学习价值：快速建立卤化物 SSE 领域全景认知，理解晶界/正极/负极三类界面的差异。</w:t>
      </w:r>
    </w:p>
    <w:p/>
    <w:p>
      <w:r>
        <w:br w:type="page"/>
      </w:r>
    </w:p>
    <w:p>
      <w:pPr>
        <w:pStyle w:val="2"/>
        <w:pageBreakBefore w:val="0"/>
      </w:pPr>
      <w:r>
        <w:rPr>
          <w:rFonts w:ascii="Times New Roman" w:hAnsi="Times New Roman" w:eastAsia="宋体"/>
          <w:b/>
          <w:sz w:val="44"/>
        </w:rPr>
        <w:t>6. 延伸思考</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（R2）本综述发表于 2023 年，尚以「经验氟化」为主，未系统引入机器学习势（MLIP）加速界面层筛选；课题 23 的 DFT+MLIP 路线正是对该综述「更深入理解界面」呼吁（R0，页 2、页 21）的响应，可用其证明毕设选题的前沿性与必要性。</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（R2）TaCl₅/NbCl₅ 属第 5 族过渡金属氯化物，其高价态阳离子（Ta⁵⁺/Nb⁵⁺）被还原的趋势强，界面层设计需重点权衡「还原产物是否仍电子绝缘」。</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（R2）可将「氟化策略」与「非晶界面层策略」并置比较：两者目标一致（阻断电子、保留 Li⁺ 通路），但前者改变体相组成，后者仅在界面引入非晶层，后者更利于保主体电导率。</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（R1）后续可追踪 Deng 组 2025 年 JMCA 论文（本批第 6 篇），看「无序多组分 SSE 加速发现」如何从计算方法层面延续本篇提出的界面难题。</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报告完 · 证据优先（R0/R1/R2 分级，结论可回溯至 PDF 页码/章节）</w:t>
      </w:r>
    </w:p>
    <w:sectPr>
      <w:headerReference r:id="rId5" w:type="default"/>
      <w:footerReference r:id="rId6" w:type="default"/>
      <w:pgSz w:w="11906" w:h="16838"/>
      <w:pgMar w:top="1440" w:right="1644" w:bottom="1440" w:left="1797"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auto" w:sz="4" w:space="1"/>
      </w:pBdr>
      <w:jc w:val="right"/>
    </w:pPr>
    <w:sdt>
      <w:sdtPr>
        <w:id w:val="-1"/>
      </w:sdtPr>
      <w:sdtContent>
        <w:r>
          <w:fldChar w:fldCharType="begin"/>
        </w:r>
        <w:r>
          <w:instrText xml:space="preserve">PAGE   \* MERGEFORMAT</w:instrText>
        </w:r>
        <w:r>
          <w:fldChar w:fldCharType="separate"/>
        </w:r>
        <w:r>
          <w:rPr>
            <w:lang w:val="zh-CN"/>
          </w:rPr>
          <w:t>5</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tabs>
        <w:tab w:val="left" w:pos="260"/>
      </w:tabs>
      <w:jc w:val="left"/>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078"/>
    <w:multiLevelType w:val="multilevel"/>
    <w:tmpl w:val="0E336078"/>
    <w:lvl w:ilvl="0" w:tentative="0">
      <w:start w:val="1"/>
      <w:numFmt w:val="bullet"/>
      <w:pStyle w:val="43"/>
      <w:lvlText w:val=""/>
      <w:lvlJc w:val="left"/>
      <w:pPr>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
    <w:nsid w:val="18262C5A"/>
    <w:multiLevelType w:val="multilevel"/>
    <w:tmpl w:val="18262C5A"/>
    <w:lvl w:ilvl="0" w:tentative="0">
      <w:start w:val="1"/>
      <w:numFmt w:val="decimal"/>
      <w:pStyle w:val="57"/>
      <w:lvlText w:val="步骤%1."/>
      <w:lvlJc w:val="left"/>
      <w:pPr>
        <w:tabs>
          <w:tab w:val="left" w:pos="1276"/>
        </w:tabs>
        <w:ind w:left="1276" w:hanging="879"/>
      </w:pPr>
      <w:rPr>
        <w:rFonts w:hint="default" w:ascii="Times New Roman" w:hAnsi="Times New Roman" w:eastAsia="宋体"/>
        <w:b w:val="0"/>
        <w:bCs w:val="0"/>
        <w:i w:val="0"/>
        <w:iCs w:val="0"/>
        <w:caps w:val="0"/>
        <w:smallCaps w:val="0"/>
        <w:strike w:val="0"/>
        <w:dstrike w:val="0"/>
        <w:outline w:val="0"/>
        <w:shadow w:val="0"/>
        <w:emboss w:val="0"/>
        <w:imprint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1469"/>
        </w:tabs>
        <w:ind w:left="1469" w:hanging="420"/>
      </w:pPr>
      <w:rPr>
        <w:rFonts w:hint="eastAsia"/>
      </w:rPr>
    </w:lvl>
    <w:lvl w:ilvl="2" w:tentative="0">
      <w:start w:val="1"/>
      <w:numFmt w:val="lowerRoman"/>
      <w:lvlText w:val="%3."/>
      <w:lvlJc w:val="right"/>
      <w:pPr>
        <w:tabs>
          <w:tab w:val="left" w:pos="1889"/>
        </w:tabs>
        <w:ind w:left="1889" w:hanging="420"/>
      </w:pPr>
      <w:rPr>
        <w:rFonts w:hint="eastAsia"/>
      </w:rPr>
    </w:lvl>
    <w:lvl w:ilvl="3" w:tentative="0">
      <w:start w:val="1"/>
      <w:numFmt w:val="decimal"/>
      <w:lvlText w:val="%4."/>
      <w:lvlJc w:val="left"/>
      <w:pPr>
        <w:tabs>
          <w:tab w:val="left" w:pos="2309"/>
        </w:tabs>
        <w:ind w:left="2309" w:hanging="420"/>
      </w:pPr>
      <w:rPr>
        <w:rFonts w:hint="eastAsia"/>
      </w:rPr>
    </w:lvl>
    <w:lvl w:ilvl="4" w:tentative="0">
      <w:start w:val="1"/>
      <w:numFmt w:val="lowerLetter"/>
      <w:lvlText w:val="%5)"/>
      <w:lvlJc w:val="left"/>
      <w:pPr>
        <w:tabs>
          <w:tab w:val="left" w:pos="2729"/>
        </w:tabs>
        <w:ind w:left="2729" w:hanging="420"/>
      </w:pPr>
      <w:rPr>
        <w:rFonts w:hint="eastAsia"/>
      </w:rPr>
    </w:lvl>
    <w:lvl w:ilvl="5" w:tentative="0">
      <w:start w:val="1"/>
      <w:numFmt w:val="lowerRoman"/>
      <w:lvlText w:val="%6."/>
      <w:lvlJc w:val="right"/>
      <w:pPr>
        <w:tabs>
          <w:tab w:val="left" w:pos="3149"/>
        </w:tabs>
        <w:ind w:left="3149" w:hanging="420"/>
      </w:pPr>
      <w:rPr>
        <w:rFonts w:hint="eastAsia"/>
      </w:rPr>
    </w:lvl>
    <w:lvl w:ilvl="6" w:tentative="0">
      <w:start w:val="1"/>
      <w:numFmt w:val="decimal"/>
      <w:lvlText w:val="%7."/>
      <w:lvlJc w:val="left"/>
      <w:pPr>
        <w:tabs>
          <w:tab w:val="left" w:pos="3569"/>
        </w:tabs>
        <w:ind w:left="3569" w:hanging="420"/>
      </w:pPr>
      <w:rPr>
        <w:rFonts w:hint="eastAsia"/>
      </w:rPr>
    </w:lvl>
    <w:lvl w:ilvl="7" w:tentative="0">
      <w:start w:val="1"/>
      <w:numFmt w:val="lowerLetter"/>
      <w:lvlText w:val="%8)"/>
      <w:lvlJc w:val="left"/>
      <w:pPr>
        <w:tabs>
          <w:tab w:val="left" w:pos="3989"/>
        </w:tabs>
        <w:ind w:left="3989" w:hanging="420"/>
      </w:pPr>
      <w:rPr>
        <w:rFonts w:hint="eastAsia"/>
      </w:rPr>
    </w:lvl>
    <w:lvl w:ilvl="8" w:tentative="0">
      <w:start w:val="1"/>
      <w:numFmt w:val="lowerRoman"/>
      <w:lvlText w:val="%9."/>
      <w:lvlJc w:val="right"/>
      <w:pPr>
        <w:tabs>
          <w:tab w:val="left" w:pos="4409"/>
        </w:tabs>
        <w:ind w:left="4409" w:hanging="420"/>
      </w:pPr>
      <w:rPr>
        <w:rFonts w:hint="eastAsia"/>
      </w:rPr>
    </w:lvl>
  </w:abstractNum>
  <w:abstractNum w:abstractNumId="2">
    <w:nsid w:val="3F9E4C1A"/>
    <w:multiLevelType w:val="multilevel"/>
    <w:tmpl w:val="3F9E4C1A"/>
    <w:lvl w:ilvl="0" w:tentative="0">
      <w:start w:val="1"/>
      <w:numFmt w:val="bullet"/>
      <w:pStyle w:val="4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3">
    <w:nsid w:val="561E0D03"/>
    <w:multiLevelType w:val="multilevel"/>
    <w:tmpl w:val="561E0D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i w:val="0"/>
        <w:sz w:val="44"/>
      </w:rPr>
    </w:lvl>
    <w:lvl w:ilvl="1" w:tentative="0">
      <w:start w:val="1"/>
      <w:numFmt w:val="decimal"/>
      <w:pStyle w:val="4"/>
      <w:lvlText w:val="%1.%2."/>
      <w:lvlJc w:val="left"/>
      <w:pPr>
        <w:ind w:left="567" w:hanging="567"/>
      </w:pPr>
      <w:rPr>
        <w:rFonts w:hint="default" w:ascii="Times New Roman" w:hAnsi="Times New Roman" w:eastAsia="宋体"/>
        <w:b/>
        <w:i w:val="0"/>
        <w:sz w:val="32"/>
      </w:rPr>
    </w:lvl>
    <w:lvl w:ilvl="2" w:tentative="0">
      <w:start w:val="1"/>
      <w:numFmt w:val="decimal"/>
      <w:pStyle w:val="5"/>
      <w:lvlText w:val="%1.%2.%3."/>
      <w:lvlJc w:val="left"/>
      <w:pPr>
        <w:ind w:left="709" w:hanging="709"/>
      </w:pPr>
      <w:rPr>
        <w:rFonts w:hint="default" w:ascii="Times New Roman" w:hAnsi="Times New Roman" w:eastAsia="宋体"/>
        <w:b/>
        <w:i w:val="0"/>
        <w:sz w:val="30"/>
      </w:rPr>
    </w:lvl>
    <w:lvl w:ilvl="3" w:tentative="0">
      <w:start w:val="1"/>
      <w:numFmt w:val="decimal"/>
      <w:pStyle w:val="6"/>
      <w:lvlText w:val="%1.%2.%3.%4."/>
      <w:lvlJc w:val="left"/>
      <w:pPr>
        <w:ind w:left="851" w:hanging="851"/>
      </w:pPr>
      <w:rPr>
        <w:rFonts w:hint="default" w:ascii="Times New Roman" w:hAnsi="Times New Roman" w:eastAsia="宋体"/>
        <w:b/>
        <w:i w:val="0"/>
        <w:sz w:val="28"/>
      </w:rPr>
    </w:lvl>
    <w:lvl w:ilvl="4" w:tentative="0">
      <w:start w:val="1"/>
      <w:numFmt w:val="decimal"/>
      <w:pStyle w:val="7"/>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pStyle w:val="9"/>
      <w:lvlText w:val="%1.%2.%3.%4.%5.%6.%7."/>
      <w:lvlJc w:val="left"/>
      <w:pPr>
        <w:ind w:left="1276" w:hanging="1276"/>
      </w:pPr>
      <w:rPr>
        <w:rFonts w:hint="eastAsia"/>
      </w:rPr>
    </w:lvl>
    <w:lvl w:ilvl="7" w:tentative="0">
      <w:start w:val="1"/>
      <w:numFmt w:val="decimal"/>
      <w:pStyle w:val="10"/>
      <w:lvlText w:val="%1.%2.%3.%4.%5.%6.%7.%8."/>
      <w:lvlJc w:val="left"/>
      <w:pPr>
        <w:ind w:left="1418" w:hanging="1418"/>
      </w:pPr>
      <w:rPr>
        <w:rFonts w:hint="eastAsia"/>
      </w:rPr>
    </w:lvl>
    <w:lvl w:ilvl="8" w:tentative="0">
      <w:start w:val="1"/>
      <w:numFmt w:val="decimal"/>
      <w:pStyle w:val="11"/>
      <w:lvlText w:val="%1.%2.%3.%4.%5.%6.%7.%8.%9."/>
      <w:lvlJc w:val="left"/>
      <w:pPr>
        <w:ind w:left="1559" w:hanging="1559"/>
      </w:pPr>
      <w:rPr>
        <w:rFonts w:hint="eastAsia"/>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zN2I2M2FjNzAxNWM4MDAyYjdlZjZmOWZmMmM2NWMifQ=="/>
  </w:docVars>
  <w:rsids>
    <w:rsidRoot w:val="00E1465D"/>
    <w:rsid w:val="00001098"/>
    <w:rsid w:val="00001EA7"/>
    <w:rsid w:val="00007345"/>
    <w:rsid w:val="00027164"/>
    <w:rsid w:val="000271E1"/>
    <w:rsid w:val="000741A7"/>
    <w:rsid w:val="00075B09"/>
    <w:rsid w:val="00080170"/>
    <w:rsid w:val="00085016"/>
    <w:rsid w:val="00086E86"/>
    <w:rsid w:val="00092073"/>
    <w:rsid w:val="000937CB"/>
    <w:rsid w:val="000B2F55"/>
    <w:rsid w:val="000B4D0B"/>
    <w:rsid w:val="000B6B0E"/>
    <w:rsid w:val="000B6D43"/>
    <w:rsid w:val="000C2498"/>
    <w:rsid w:val="000D2BA8"/>
    <w:rsid w:val="000E39BC"/>
    <w:rsid w:val="000E45B6"/>
    <w:rsid w:val="000F2DD4"/>
    <w:rsid w:val="00112239"/>
    <w:rsid w:val="00114537"/>
    <w:rsid w:val="001152B7"/>
    <w:rsid w:val="00120248"/>
    <w:rsid w:val="001220F5"/>
    <w:rsid w:val="00122B6C"/>
    <w:rsid w:val="00156CEC"/>
    <w:rsid w:val="00162F88"/>
    <w:rsid w:val="001758CF"/>
    <w:rsid w:val="00182BDF"/>
    <w:rsid w:val="001976A1"/>
    <w:rsid w:val="001A60A8"/>
    <w:rsid w:val="001A7855"/>
    <w:rsid w:val="001B4F9F"/>
    <w:rsid w:val="001C5E9B"/>
    <w:rsid w:val="001C75D1"/>
    <w:rsid w:val="001D185D"/>
    <w:rsid w:val="001D5A30"/>
    <w:rsid w:val="001E1371"/>
    <w:rsid w:val="00202256"/>
    <w:rsid w:val="002170AF"/>
    <w:rsid w:val="00217AE3"/>
    <w:rsid w:val="0022051F"/>
    <w:rsid w:val="002219ED"/>
    <w:rsid w:val="00221A6C"/>
    <w:rsid w:val="0022700A"/>
    <w:rsid w:val="00241414"/>
    <w:rsid w:val="0025741B"/>
    <w:rsid w:val="002651E1"/>
    <w:rsid w:val="00283839"/>
    <w:rsid w:val="002908A8"/>
    <w:rsid w:val="002955C9"/>
    <w:rsid w:val="002A0CEE"/>
    <w:rsid w:val="002A7851"/>
    <w:rsid w:val="002B1F3E"/>
    <w:rsid w:val="002C3BEB"/>
    <w:rsid w:val="002D102E"/>
    <w:rsid w:val="002D1179"/>
    <w:rsid w:val="002D1191"/>
    <w:rsid w:val="002D1840"/>
    <w:rsid w:val="002D3528"/>
    <w:rsid w:val="002E23A3"/>
    <w:rsid w:val="002E3E40"/>
    <w:rsid w:val="002F11F0"/>
    <w:rsid w:val="002F7AFA"/>
    <w:rsid w:val="00301A5C"/>
    <w:rsid w:val="0031781C"/>
    <w:rsid w:val="003245E7"/>
    <w:rsid w:val="00326E1C"/>
    <w:rsid w:val="00341280"/>
    <w:rsid w:val="00343FFA"/>
    <w:rsid w:val="00354BF6"/>
    <w:rsid w:val="0037087D"/>
    <w:rsid w:val="0037111D"/>
    <w:rsid w:val="003724B0"/>
    <w:rsid w:val="00375793"/>
    <w:rsid w:val="00375ECD"/>
    <w:rsid w:val="00391BFA"/>
    <w:rsid w:val="00393CFB"/>
    <w:rsid w:val="003A3882"/>
    <w:rsid w:val="003C39F9"/>
    <w:rsid w:val="003C5C0F"/>
    <w:rsid w:val="003D02F0"/>
    <w:rsid w:val="003D1D37"/>
    <w:rsid w:val="003D3FB6"/>
    <w:rsid w:val="003D5CDB"/>
    <w:rsid w:val="003E0D83"/>
    <w:rsid w:val="003E0FBC"/>
    <w:rsid w:val="003E4B7B"/>
    <w:rsid w:val="003F57EA"/>
    <w:rsid w:val="00404500"/>
    <w:rsid w:val="0041574D"/>
    <w:rsid w:val="00420C65"/>
    <w:rsid w:val="004429DD"/>
    <w:rsid w:val="004543CF"/>
    <w:rsid w:val="00456090"/>
    <w:rsid w:val="00473C78"/>
    <w:rsid w:val="00487673"/>
    <w:rsid w:val="004904EB"/>
    <w:rsid w:val="004A4EE5"/>
    <w:rsid w:val="004A7608"/>
    <w:rsid w:val="004B1095"/>
    <w:rsid w:val="004B23E7"/>
    <w:rsid w:val="004B3BC0"/>
    <w:rsid w:val="004C6155"/>
    <w:rsid w:val="004D3EC4"/>
    <w:rsid w:val="004F7417"/>
    <w:rsid w:val="00506386"/>
    <w:rsid w:val="00517490"/>
    <w:rsid w:val="00517FD6"/>
    <w:rsid w:val="005213FD"/>
    <w:rsid w:val="00527614"/>
    <w:rsid w:val="00542087"/>
    <w:rsid w:val="00560242"/>
    <w:rsid w:val="005672AC"/>
    <w:rsid w:val="00580AF6"/>
    <w:rsid w:val="00582CDD"/>
    <w:rsid w:val="005A4AF0"/>
    <w:rsid w:val="005B0F85"/>
    <w:rsid w:val="005C41B4"/>
    <w:rsid w:val="005C4734"/>
    <w:rsid w:val="005F26FE"/>
    <w:rsid w:val="005F41E0"/>
    <w:rsid w:val="00602A90"/>
    <w:rsid w:val="0060593F"/>
    <w:rsid w:val="0060646F"/>
    <w:rsid w:val="00610A08"/>
    <w:rsid w:val="00626386"/>
    <w:rsid w:val="00633A41"/>
    <w:rsid w:val="006340E9"/>
    <w:rsid w:val="00652A76"/>
    <w:rsid w:val="00653C9F"/>
    <w:rsid w:val="006554DD"/>
    <w:rsid w:val="00657BBB"/>
    <w:rsid w:val="0067535A"/>
    <w:rsid w:val="0069195F"/>
    <w:rsid w:val="00692BAB"/>
    <w:rsid w:val="006A031C"/>
    <w:rsid w:val="006A1739"/>
    <w:rsid w:val="006A38A3"/>
    <w:rsid w:val="006B63C7"/>
    <w:rsid w:val="006C4566"/>
    <w:rsid w:val="006D2481"/>
    <w:rsid w:val="006F5071"/>
    <w:rsid w:val="006F67A8"/>
    <w:rsid w:val="00701354"/>
    <w:rsid w:val="00701EDD"/>
    <w:rsid w:val="007023F9"/>
    <w:rsid w:val="007050F9"/>
    <w:rsid w:val="00707AE6"/>
    <w:rsid w:val="007129A7"/>
    <w:rsid w:val="00726465"/>
    <w:rsid w:val="00727823"/>
    <w:rsid w:val="0074380A"/>
    <w:rsid w:val="007505E8"/>
    <w:rsid w:val="0076290B"/>
    <w:rsid w:val="00764A60"/>
    <w:rsid w:val="00774F42"/>
    <w:rsid w:val="0077543F"/>
    <w:rsid w:val="00782439"/>
    <w:rsid w:val="00783765"/>
    <w:rsid w:val="00785248"/>
    <w:rsid w:val="007D69A8"/>
    <w:rsid w:val="007E134C"/>
    <w:rsid w:val="007E2CB0"/>
    <w:rsid w:val="0080796D"/>
    <w:rsid w:val="0081087B"/>
    <w:rsid w:val="008128DC"/>
    <w:rsid w:val="00820265"/>
    <w:rsid w:val="00827C30"/>
    <w:rsid w:val="008340DE"/>
    <w:rsid w:val="008363A4"/>
    <w:rsid w:val="00842109"/>
    <w:rsid w:val="00845B71"/>
    <w:rsid w:val="00845FE6"/>
    <w:rsid w:val="00854267"/>
    <w:rsid w:val="0085614F"/>
    <w:rsid w:val="0086496D"/>
    <w:rsid w:val="00866609"/>
    <w:rsid w:val="00867969"/>
    <w:rsid w:val="008745A8"/>
    <w:rsid w:val="00885C56"/>
    <w:rsid w:val="00887792"/>
    <w:rsid w:val="0089097A"/>
    <w:rsid w:val="00893B00"/>
    <w:rsid w:val="00895587"/>
    <w:rsid w:val="008B0CB9"/>
    <w:rsid w:val="008C4B7D"/>
    <w:rsid w:val="008C6DA8"/>
    <w:rsid w:val="008D2305"/>
    <w:rsid w:val="008E28EB"/>
    <w:rsid w:val="008E6F5B"/>
    <w:rsid w:val="0090303B"/>
    <w:rsid w:val="00907431"/>
    <w:rsid w:val="00914AC3"/>
    <w:rsid w:val="0092367C"/>
    <w:rsid w:val="00931D12"/>
    <w:rsid w:val="00932376"/>
    <w:rsid w:val="0093742E"/>
    <w:rsid w:val="0094008B"/>
    <w:rsid w:val="0094276E"/>
    <w:rsid w:val="0094720E"/>
    <w:rsid w:val="00951078"/>
    <w:rsid w:val="009538D6"/>
    <w:rsid w:val="00956AB8"/>
    <w:rsid w:val="00956FE8"/>
    <w:rsid w:val="009573A9"/>
    <w:rsid w:val="009655AF"/>
    <w:rsid w:val="00970CC9"/>
    <w:rsid w:val="00976FE8"/>
    <w:rsid w:val="00980E83"/>
    <w:rsid w:val="00985053"/>
    <w:rsid w:val="00991F3F"/>
    <w:rsid w:val="009A1042"/>
    <w:rsid w:val="009B3DED"/>
    <w:rsid w:val="009B4EFE"/>
    <w:rsid w:val="009B6598"/>
    <w:rsid w:val="009C1618"/>
    <w:rsid w:val="009C5B28"/>
    <w:rsid w:val="009C7207"/>
    <w:rsid w:val="009D6B51"/>
    <w:rsid w:val="009E0543"/>
    <w:rsid w:val="00A032D0"/>
    <w:rsid w:val="00A058AA"/>
    <w:rsid w:val="00A05999"/>
    <w:rsid w:val="00A07817"/>
    <w:rsid w:val="00A15752"/>
    <w:rsid w:val="00A17402"/>
    <w:rsid w:val="00A30A20"/>
    <w:rsid w:val="00A40675"/>
    <w:rsid w:val="00A42AA3"/>
    <w:rsid w:val="00A4717F"/>
    <w:rsid w:val="00A54416"/>
    <w:rsid w:val="00A67481"/>
    <w:rsid w:val="00A67F11"/>
    <w:rsid w:val="00A72FE9"/>
    <w:rsid w:val="00A767BA"/>
    <w:rsid w:val="00A8030B"/>
    <w:rsid w:val="00A8187A"/>
    <w:rsid w:val="00A83499"/>
    <w:rsid w:val="00A949D4"/>
    <w:rsid w:val="00AA2EB9"/>
    <w:rsid w:val="00AB0BB9"/>
    <w:rsid w:val="00AB0E93"/>
    <w:rsid w:val="00AB1353"/>
    <w:rsid w:val="00AB3B02"/>
    <w:rsid w:val="00AD64F7"/>
    <w:rsid w:val="00AD6B9E"/>
    <w:rsid w:val="00AE31FA"/>
    <w:rsid w:val="00AF288B"/>
    <w:rsid w:val="00B067B9"/>
    <w:rsid w:val="00B07578"/>
    <w:rsid w:val="00B10669"/>
    <w:rsid w:val="00B1125D"/>
    <w:rsid w:val="00B314C0"/>
    <w:rsid w:val="00B3318F"/>
    <w:rsid w:val="00B3475E"/>
    <w:rsid w:val="00B41969"/>
    <w:rsid w:val="00B42F85"/>
    <w:rsid w:val="00B54A51"/>
    <w:rsid w:val="00B552A1"/>
    <w:rsid w:val="00B55385"/>
    <w:rsid w:val="00B562ED"/>
    <w:rsid w:val="00B77E76"/>
    <w:rsid w:val="00B93C18"/>
    <w:rsid w:val="00BB1B9B"/>
    <w:rsid w:val="00BC283B"/>
    <w:rsid w:val="00BC69F1"/>
    <w:rsid w:val="00BD3FB8"/>
    <w:rsid w:val="00BD4C4E"/>
    <w:rsid w:val="00BD7FB7"/>
    <w:rsid w:val="00BE4798"/>
    <w:rsid w:val="00BF12A0"/>
    <w:rsid w:val="00C0013E"/>
    <w:rsid w:val="00C128D9"/>
    <w:rsid w:val="00C15CDA"/>
    <w:rsid w:val="00C24C06"/>
    <w:rsid w:val="00C27187"/>
    <w:rsid w:val="00C27FDD"/>
    <w:rsid w:val="00C333B2"/>
    <w:rsid w:val="00C40CBE"/>
    <w:rsid w:val="00C412AE"/>
    <w:rsid w:val="00C454D1"/>
    <w:rsid w:val="00C51BC7"/>
    <w:rsid w:val="00C5635C"/>
    <w:rsid w:val="00C66DB7"/>
    <w:rsid w:val="00C674AD"/>
    <w:rsid w:val="00C710A2"/>
    <w:rsid w:val="00C731B2"/>
    <w:rsid w:val="00C744CD"/>
    <w:rsid w:val="00C96E75"/>
    <w:rsid w:val="00CA0434"/>
    <w:rsid w:val="00CA1649"/>
    <w:rsid w:val="00CA487B"/>
    <w:rsid w:val="00CB2C45"/>
    <w:rsid w:val="00CC147F"/>
    <w:rsid w:val="00CD19C9"/>
    <w:rsid w:val="00CE6BB5"/>
    <w:rsid w:val="00CF72D8"/>
    <w:rsid w:val="00D0030A"/>
    <w:rsid w:val="00D0236E"/>
    <w:rsid w:val="00D0297C"/>
    <w:rsid w:val="00D113FD"/>
    <w:rsid w:val="00D12B74"/>
    <w:rsid w:val="00D14A87"/>
    <w:rsid w:val="00D155B6"/>
    <w:rsid w:val="00D2147F"/>
    <w:rsid w:val="00D22E3E"/>
    <w:rsid w:val="00D248E8"/>
    <w:rsid w:val="00D316CE"/>
    <w:rsid w:val="00D46378"/>
    <w:rsid w:val="00D5152C"/>
    <w:rsid w:val="00D535C3"/>
    <w:rsid w:val="00D53E60"/>
    <w:rsid w:val="00D64FE9"/>
    <w:rsid w:val="00D67A63"/>
    <w:rsid w:val="00D820F7"/>
    <w:rsid w:val="00D95651"/>
    <w:rsid w:val="00DA3342"/>
    <w:rsid w:val="00DB73AA"/>
    <w:rsid w:val="00DB7B31"/>
    <w:rsid w:val="00DC2577"/>
    <w:rsid w:val="00DC26CD"/>
    <w:rsid w:val="00DD4C3D"/>
    <w:rsid w:val="00DF3072"/>
    <w:rsid w:val="00E02484"/>
    <w:rsid w:val="00E107B5"/>
    <w:rsid w:val="00E12799"/>
    <w:rsid w:val="00E1465D"/>
    <w:rsid w:val="00E32953"/>
    <w:rsid w:val="00E35D09"/>
    <w:rsid w:val="00E42894"/>
    <w:rsid w:val="00E432FA"/>
    <w:rsid w:val="00E5789B"/>
    <w:rsid w:val="00E766A1"/>
    <w:rsid w:val="00E85F5A"/>
    <w:rsid w:val="00E96C7D"/>
    <w:rsid w:val="00EA1B98"/>
    <w:rsid w:val="00EA23B6"/>
    <w:rsid w:val="00EA5CA2"/>
    <w:rsid w:val="00EB6006"/>
    <w:rsid w:val="00EB7A10"/>
    <w:rsid w:val="00EC111B"/>
    <w:rsid w:val="00EC50AA"/>
    <w:rsid w:val="00ED4FF9"/>
    <w:rsid w:val="00ED6470"/>
    <w:rsid w:val="00EE385A"/>
    <w:rsid w:val="00EE5A60"/>
    <w:rsid w:val="00EF0F26"/>
    <w:rsid w:val="00F15B0B"/>
    <w:rsid w:val="00F30BA9"/>
    <w:rsid w:val="00F520A6"/>
    <w:rsid w:val="00F56DE0"/>
    <w:rsid w:val="00F620A1"/>
    <w:rsid w:val="00F82AFD"/>
    <w:rsid w:val="00F82EE2"/>
    <w:rsid w:val="00F8678B"/>
    <w:rsid w:val="00F91127"/>
    <w:rsid w:val="00F93AE4"/>
    <w:rsid w:val="00FB16F1"/>
    <w:rsid w:val="00FB4F4A"/>
    <w:rsid w:val="00FB5904"/>
    <w:rsid w:val="00FB593A"/>
    <w:rsid w:val="00FB6323"/>
    <w:rsid w:val="00FC3294"/>
    <w:rsid w:val="00FC53E2"/>
    <w:rsid w:val="00FD6269"/>
    <w:rsid w:val="00FF1DDA"/>
    <w:rsid w:val="00FF5B05"/>
    <w:rsid w:val="03434F54"/>
    <w:rsid w:val="06163A32"/>
    <w:rsid w:val="067F2A0E"/>
    <w:rsid w:val="06EA1F1A"/>
    <w:rsid w:val="070F5170"/>
    <w:rsid w:val="08D763CA"/>
    <w:rsid w:val="0D4C0A39"/>
    <w:rsid w:val="0FFB1952"/>
    <w:rsid w:val="146723CC"/>
    <w:rsid w:val="147B680C"/>
    <w:rsid w:val="15324901"/>
    <w:rsid w:val="1539797F"/>
    <w:rsid w:val="15EB22B4"/>
    <w:rsid w:val="1639423A"/>
    <w:rsid w:val="17EDC250"/>
    <w:rsid w:val="1B302ADF"/>
    <w:rsid w:val="1B620B59"/>
    <w:rsid w:val="1EBA04C4"/>
    <w:rsid w:val="1F437447"/>
    <w:rsid w:val="1F76D75D"/>
    <w:rsid w:val="233576CE"/>
    <w:rsid w:val="23F530CF"/>
    <w:rsid w:val="26271017"/>
    <w:rsid w:val="26322DEF"/>
    <w:rsid w:val="281A1A02"/>
    <w:rsid w:val="28B503F7"/>
    <w:rsid w:val="28CD2D3C"/>
    <w:rsid w:val="2CD75F5D"/>
    <w:rsid w:val="33F400E2"/>
    <w:rsid w:val="359E69AC"/>
    <w:rsid w:val="38BFF1E2"/>
    <w:rsid w:val="39B4455A"/>
    <w:rsid w:val="3ADF6EFD"/>
    <w:rsid w:val="3B982DE0"/>
    <w:rsid w:val="3BBB21DC"/>
    <w:rsid w:val="3C8C2C72"/>
    <w:rsid w:val="3D2DF7A3"/>
    <w:rsid w:val="406D5E55"/>
    <w:rsid w:val="43A37870"/>
    <w:rsid w:val="479354BC"/>
    <w:rsid w:val="486E535B"/>
    <w:rsid w:val="49FD0DB6"/>
    <w:rsid w:val="534A1D9D"/>
    <w:rsid w:val="55756839"/>
    <w:rsid w:val="5D8C4BE8"/>
    <w:rsid w:val="5FF52DFF"/>
    <w:rsid w:val="60A70F0A"/>
    <w:rsid w:val="6E6D028B"/>
    <w:rsid w:val="6EBBBD9B"/>
    <w:rsid w:val="706C1AC9"/>
    <w:rsid w:val="72DF7849"/>
    <w:rsid w:val="72EC0678"/>
    <w:rsid w:val="7397B993"/>
    <w:rsid w:val="7428006B"/>
    <w:rsid w:val="753B2A97"/>
    <w:rsid w:val="758F617C"/>
    <w:rsid w:val="76741766"/>
    <w:rsid w:val="773DD397"/>
    <w:rsid w:val="77EF4FD5"/>
    <w:rsid w:val="78C14F33"/>
    <w:rsid w:val="7CB27C44"/>
    <w:rsid w:val="7DCB394B"/>
    <w:rsid w:val="7E47317A"/>
    <w:rsid w:val="7F7FF514"/>
    <w:rsid w:val="7FBEA9CB"/>
    <w:rsid w:val="9FF6EBE3"/>
    <w:rsid w:val="B7B719FA"/>
    <w:rsid w:val="BD8BB6B3"/>
    <w:rsid w:val="BEF77B82"/>
    <w:rsid w:val="BF9D4D15"/>
    <w:rsid w:val="CB4D1783"/>
    <w:rsid w:val="CFBBDA92"/>
    <w:rsid w:val="FBFF1F8E"/>
    <w:rsid w:val="FED79344"/>
    <w:rsid w:val="FEF684E1"/>
    <w:rsid w:val="FF17A4B1"/>
    <w:rsid w:val="FFFF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heme="minorBidi"/>
      <w:kern w:val="2"/>
      <w:sz w:val="21"/>
      <w:szCs w:val="22"/>
      <w:lang w:val="en-US" w:eastAsia="zh-CN" w:bidi="ar-SA"/>
    </w:rPr>
  </w:style>
  <w:style w:type="paragraph" w:styleId="2">
    <w:name w:val="heading 1"/>
    <w:basedOn w:val="1"/>
    <w:next w:val="3"/>
    <w:link w:val="32"/>
    <w:qFormat/>
    <w:uiPriority w:val="0"/>
    <w:pPr>
      <w:keepNext/>
      <w:keepLines/>
      <w:pageBreakBefore/>
      <w:numPr>
        <w:ilvl w:val="0"/>
        <w:numId w:val="1"/>
      </w:numPr>
      <w:spacing w:before="340" w:after="330" w:line="578" w:lineRule="auto"/>
      <w:outlineLvl w:val="0"/>
    </w:pPr>
    <w:rPr>
      <w:b/>
      <w:bCs/>
      <w:kern w:val="44"/>
      <w:sz w:val="44"/>
      <w:szCs w:val="44"/>
    </w:rPr>
  </w:style>
  <w:style w:type="paragraph" w:styleId="4">
    <w:name w:val="heading 2"/>
    <w:basedOn w:val="2"/>
    <w:next w:val="3"/>
    <w:link w:val="33"/>
    <w:unhideWhenUsed/>
    <w:qFormat/>
    <w:uiPriority w:val="0"/>
    <w:pPr>
      <w:numPr>
        <w:ilvl w:val="1"/>
      </w:numPr>
      <w:spacing w:before="260" w:after="260" w:line="416" w:lineRule="auto"/>
      <w:outlineLvl w:val="1"/>
    </w:pPr>
    <w:rPr>
      <w:rFonts w:cstheme="majorBidi"/>
      <w:sz w:val="32"/>
      <w:szCs w:val="32"/>
    </w:rPr>
  </w:style>
  <w:style w:type="paragraph" w:styleId="5">
    <w:name w:val="heading 3"/>
    <w:basedOn w:val="1"/>
    <w:next w:val="1"/>
    <w:link w:val="34"/>
    <w:unhideWhenUsed/>
    <w:qFormat/>
    <w:uiPriority w:val="0"/>
    <w:pPr>
      <w:keepNext/>
      <w:keepLines/>
      <w:numPr>
        <w:ilvl w:val="2"/>
        <w:numId w:val="1"/>
      </w:numPr>
      <w:spacing w:before="260" w:after="260" w:line="416" w:lineRule="auto"/>
      <w:outlineLvl w:val="2"/>
    </w:pPr>
    <w:rPr>
      <w:b/>
      <w:bCs/>
      <w:sz w:val="30"/>
      <w:szCs w:val="32"/>
    </w:rPr>
  </w:style>
  <w:style w:type="paragraph" w:styleId="6">
    <w:name w:val="heading 4"/>
    <w:basedOn w:val="1"/>
    <w:next w:val="1"/>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1"/>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9">
    <w:name w:val="heading 7"/>
    <w:basedOn w:val="1"/>
    <w:next w:val="1"/>
    <w:link w:val="3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annotation text"/>
    <w:basedOn w:val="1"/>
    <w:link w:val="63"/>
    <w:semiHidden/>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annotation subject"/>
    <w:basedOn w:val="12"/>
    <w:next w:val="12"/>
    <w:link w:val="64"/>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semiHidden/>
    <w:unhideWhenUsed/>
    <w:qFormat/>
    <w:uiPriority w:val="99"/>
    <w:pPr>
      <w:widowControl w:val="0"/>
      <w:spacing w:line="360" w:lineRule="auto"/>
      <w:ind w:firstLine="4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页眉 字符"/>
    <w:basedOn w:val="23"/>
    <w:link w:val="16"/>
    <w:qFormat/>
    <w:uiPriority w:val="99"/>
    <w:rPr>
      <w:sz w:val="18"/>
      <w:szCs w:val="18"/>
    </w:rPr>
  </w:style>
  <w:style w:type="character" w:customStyle="1" w:styleId="28">
    <w:name w:val="页脚 字符"/>
    <w:basedOn w:val="23"/>
    <w:link w:val="15"/>
    <w:qFormat/>
    <w:uiPriority w:val="99"/>
    <w:rPr>
      <w:sz w:val="18"/>
      <w:szCs w:val="18"/>
    </w:rPr>
  </w:style>
  <w:style w:type="paragraph" w:customStyle="1" w:styleId="29">
    <w:name w:val="页面标题"/>
    <w:basedOn w:val="1"/>
    <w:next w:val="1"/>
    <w:qFormat/>
    <w:uiPriority w:val="0"/>
    <w:pPr>
      <w:widowControl/>
      <w:ind w:firstLine="0"/>
      <w:jc w:val="center"/>
    </w:pPr>
    <w:rPr>
      <w:rFonts w:ascii="宋体" w:hAnsi="宋体" w:cs="宋体"/>
      <w:b/>
      <w:bCs/>
      <w:kern w:val="0"/>
      <w:sz w:val="44"/>
      <w:szCs w:val="44"/>
    </w:rPr>
  </w:style>
  <w:style w:type="paragraph" w:customStyle="1" w:styleId="30">
    <w:name w:val="表头"/>
    <w:basedOn w:val="1"/>
    <w:qFormat/>
    <w:uiPriority w:val="0"/>
    <w:pPr>
      <w:widowControl/>
      <w:spacing w:line="320" w:lineRule="exact"/>
      <w:jc w:val="center"/>
    </w:pPr>
    <w:rPr>
      <w:rFonts w:cs="Times New Roman"/>
      <w:b/>
      <w:bCs/>
      <w:snapToGrid w:val="0"/>
      <w:color w:val="FFFFFF" w:themeColor="background1"/>
      <w:kern w:val="0"/>
      <w:szCs w:val="18"/>
      <w14:textFill>
        <w14:solidFill>
          <w14:schemeClr w14:val="bg1"/>
        </w14:solidFill>
      </w14:textFill>
    </w:rPr>
  </w:style>
  <w:style w:type="paragraph" w:customStyle="1" w:styleId="31">
    <w:name w:val="表内容"/>
    <w:basedOn w:val="1"/>
    <w:qFormat/>
    <w:uiPriority w:val="0"/>
    <w:pPr>
      <w:widowControl/>
      <w:spacing w:line="240" w:lineRule="auto"/>
      <w:ind w:firstLine="0"/>
      <w:jc w:val="left"/>
    </w:pPr>
    <w:rPr>
      <w:rFonts w:cs="Times New Roman"/>
      <w:snapToGrid w:val="0"/>
      <w:kern w:val="0"/>
      <w:szCs w:val="24"/>
    </w:rPr>
  </w:style>
  <w:style w:type="character" w:customStyle="1" w:styleId="32">
    <w:name w:val="标题 1 字符"/>
    <w:basedOn w:val="23"/>
    <w:link w:val="2"/>
    <w:qFormat/>
    <w:uiPriority w:val="0"/>
    <w:rPr>
      <w:rFonts w:ascii="Times New Roman" w:hAnsi="Times New Roman" w:eastAsia="宋体"/>
      <w:b/>
      <w:bCs/>
      <w:kern w:val="44"/>
      <w:sz w:val="44"/>
      <w:szCs w:val="44"/>
    </w:rPr>
  </w:style>
  <w:style w:type="character" w:customStyle="1" w:styleId="33">
    <w:name w:val="标题 2 字符"/>
    <w:basedOn w:val="23"/>
    <w:link w:val="4"/>
    <w:qFormat/>
    <w:uiPriority w:val="0"/>
    <w:rPr>
      <w:rFonts w:ascii="Times New Roman" w:hAnsi="Times New Roman" w:eastAsia="宋体" w:cstheme="majorBidi"/>
      <w:b/>
      <w:bCs/>
      <w:sz w:val="32"/>
      <w:szCs w:val="32"/>
    </w:rPr>
  </w:style>
  <w:style w:type="character" w:customStyle="1" w:styleId="34">
    <w:name w:val="标题 3 字符"/>
    <w:basedOn w:val="23"/>
    <w:link w:val="5"/>
    <w:qFormat/>
    <w:uiPriority w:val="9"/>
    <w:rPr>
      <w:rFonts w:eastAsia="宋体"/>
      <w:b/>
      <w:bCs/>
      <w:sz w:val="30"/>
      <w:szCs w:val="32"/>
    </w:rPr>
  </w:style>
  <w:style w:type="character" w:customStyle="1" w:styleId="35">
    <w:name w:val="标题 4 字符"/>
    <w:basedOn w:val="23"/>
    <w:link w:val="6"/>
    <w:qFormat/>
    <w:uiPriority w:val="0"/>
    <w:rPr>
      <w:rFonts w:ascii="Times New Roman" w:hAnsi="Times New Roman" w:eastAsia="宋体" w:cstheme="majorBidi"/>
      <w:b/>
      <w:bCs/>
      <w:sz w:val="28"/>
      <w:szCs w:val="28"/>
    </w:rPr>
  </w:style>
  <w:style w:type="character" w:customStyle="1" w:styleId="36">
    <w:name w:val="标题 5 字符"/>
    <w:basedOn w:val="23"/>
    <w:link w:val="7"/>
    <w:qFormat/>
    <w:uiPriority w:val="9"/>
    <w:rPr>
      <w:rFonts w:eastAsia="宋体"/>
      <w:b/>
      <w:bCs/>
      <w:sz w:val="28"/>
      <w:szCs w:val="28"/>
    </w:rPr>
  </w:style>
  <w:style w:type="character" w:customStyle="1" w:styleId="37">
    <w:name w:val="标题 6 字符"/>
    <w:basedOn w:val="23"/>
    <w:link w:val="8"/>
    <w:qFormat/>
    <w:uiPriority w:val="9"/>
    <w:rPr>
      <w:rFonts w:eastAsia="宋体" w:asciiTheme="majorHAnsi" w:hAnsiTheme="majorHAnsi" w:cstheme="majorBidi"/>
      <w:b/>
      <w:bCs/>
      <w:sz w:val="24"/>
      <w:szCs w:val="24"/>
    </w:rPr>
  </w:style>
  <w:style w:type="character" w:customStyle="1" w:styleId="38">
    <w:name w:val="标题 7 字符"/>
    <w:basedOn w:val="23"/>
    <w:link w:val="9"/>
    <w:semiHidden/>
    <w:qFormat/>
    <w:uiPriority w:val="9"/>
    <w:rPr>
      <w:b/>
      <w:bCs/>
      <w:sz w:val="24"/>
      <w:szCs w:val="24"/>
    </w:rPr>
  </w:style>
  <w:style w:type="character" w:customStyle="1" w:styleId="39">
    <w:name w:val="标题 8 字符"/>
    <w:basedOn w:val="23"/>
    <w:link w:val="10"/>
    <w:semiHidden/>
    <w:qFormat/>
    <w:uiPriority w:val="9"/>
    <w:rPr>
      <w:rFonts w:asciiTheme="majorHAnsi" w:hAnsiTheme="majorHAnsi" w:eastAsiaTheme="majorEastAsia" w:cstheme="majorBidi"/>
      <w:sz w:val="24"/>
      <w:szCs w:val="24"/>
    </w:rPr>
  </w:style>
  <w:style w:type="character" w:customStyle="1" w:styleId="40">
    <w:name w:val="标题 9 字符"/>
    <w:basedOn w:val="23"/>
    <w:link w:val="11"/>
    <w:qFormat/>
    <w:uiPriority w:val="9"/>
    <w:rPr>
      <w:rFonts w:asciiTheme="majorHAnsi" w:hAnsiTheme="majorHAnsi" w:eastAsiaTheme="majorEastAsia" w:cstheme="majorBidi"/>
      <w:szCs w:val="21"/>
    </w:rPr>
  </w:style>
  <w:style w:type="paragraph" w:styleId="41">
    <w:name w:val="List Paragraph"/>
    <w:basedOn w:val="1"/>
    <w:qFormat/>
    <w:uiPriority w:val="34"/>
    <w:pPr>
      <w:ind w:firstLine="200" w:firstLineChars="200"/>
    </w:pPr>
  </w:style>
  <w:style w:type="character" w:customStyle="1" w:styleId="42">
    <w:name w:val="菜单命令"/>
    <w:qFormat/>
    <w:uiPriority w:val="0"/>
    <w:rPr>
      <w:rFonts w:ascii="Times New Roman" w:hAnsi="Times New Roman" w:eastAsia="宋体"/>
      <w:b/>
      <w:bCs/>
      <w:sz w:val="21"/>
      <w:szCs w:val="21"/>
    </w:rPr>
  </w:style>
  <w:style w:type="paragraph" w:customStyle="1" w:styleId="43">
    <w:name w:val="项目列举2级"/>
    <w:basedOn w:val="1"/>
    <w:qFormat/>
    <w:uiPriority w:val="0"/>
    <w:pPr>
      <w:widowControl/>
      <w:numPr>
        <w:ilvl w:val="0"/>
        <w:numId w:val="2"/>
      </w:numPr>
      <w:jc w:val="left"/>
    </w:pPr>
    <w:rPr>
      <w:rFonts w:cs="宋体"/>
      <w:kern w:val="0"/>
      <w:szCs w:val="21"/>
    </w:rPr>
  </w:style>
  <w:style w:type="character" w:customStyle="1" w:styleId="44">
    <w:name w:val="命令参数"/>
    <w:qFormat/>
    <w:uiPriority w:val="0"/>
    <w:rPr>
      <w:rFonts w:ascii="Times New Roman" w:hAnsi="Times New Roman" w:eastAsia="宋体"/>
      <w:sz w:val="21"/>
      <w:szCs w:val="21"/>
    </w:rPr>
  </w:style>
  <w:style w:type="character" w:customStyle="1" w:styleId="45">
    <w:name w:val="命令参数斜体"/>
    <w:qFormat/>
    <w:uiPriority w:val="0"/>
    <w:rPr>
      <w:rFonts w:ascii="Times New Roman" w:hAnsi="Times New Roman" w:eastAsia="宋体"/>
      <w:i/>
      <w:sz w:val="21"/>
    </w:rPr>
  </w:style>
  <w:style w:type="character" w:customStyle="1" w:styleId="46">
    <w:name w:val="命令名和动作"/>
    <w:qFormat/>
    <w:uiPriority w:val="0"/>
    <w:rPr>
      <w:rFonts w:ascii="Times New Roman" w:hAnsi="Times New Roman" w:eastAsia="黑体"/>
      <w:b/>
      <w:sz w:val="21"/>
      <w:szCs w:val="21"/>
    </w:rPr>
  </w:style>
  <w:style w:type="paragraph" w:customStyle="1" w:styleId="47">
    <w:name w:val="章节项目"/>
    <w:basedOn w:val="1"/>
    <w:qFormat/>
    <w:uiPriority w:val="0"/>
    <w:pPr>
      <w:widowControl/>
      <w:numPr>
        <w:ilvl w:val="0"/>
        <w:numId w:val="3"/>
      </w:numPr>
      <w:jc w:val="left"/>
    </w:pPr>
    <w:rPr>
      <w:rFonts w:cs="宋体"/>
      <w:kern w:val="0"/>
      <w:szCs w:val="21"/>
    </w:rPr>
  </w:style>
  <w:style w:type="paragraph" w:customStyle="1" w:styleId="48">
    <w:name w:val="步骤下图片"/>
    <w:basedOn w:val="1"/>
    <w:qFormat/>
    <w:uiPriority w:val="0"/>
    <w:pPr>
      <w:ind w:left="1276" w:firstLine="0"/>
    </w:pPr>
  </w:style>
  <w:style w:type="paragraph" w:customStyle="1" w:styleId="49">
    <w:name w:val="代码示例"/>
    <w:basedOn w:val="1"/>
    <w:link w:val="50"/>
    <w:qFormat/>
    <w:uiPriority w:val="0"/>
    <w:pPr>
      <w:spacing w:line="240" w:lineRule="auto"/>
      <w:ind w:firstLine="0"/>
    </w:pPr>
    <w:rPr>
      <w:rFonts w:ascii="Courier New" w:hAnsi="Courier New"/>
      <w:color w:val="000000" w:themeColor="text1"/>
      <w:sz w:val="20"/>
      <w:szCs w:val="21"/>
      <w14:textFill>
        <w14:solidFill>
          <w14:schemeClr w14:val="tx1"/>
        </w14:solidFill>
      </w14:textFill>
    </w:rPr>
  </w:style>
  <w:style w:type="character" w:customStyle="1" w:styleId="50">
    <w:name w:val="代码示例 Char"/>
    <w:basedOn w:val="23"/>
    <w:link w:val="49"/>
    <w:qFormat/>
    <w:uiPriority w:val="0"/>
    <w:rPr>
      <w:rFonts w:ascii="Courier New" w:hAnsi="Courier New" w:eastAsia="宋体"/>
      <w:color w:val="000000" w:themeColor="text1"/>
      <w:sz w:val="20"/>
      <w:szCs w:val="21"/>
      <w14:textFill>
        <w14:solidFill>
          <w14:schemeClr w14:val="tx1"/>
        </w14:solidFill>
      </w14:textFill>
    </w:rPr>
  </w:style>
  <w:style w:type="character" w:customStyle="1" w:styleId="51">
    <w:name w:val="批注框文本 字符"/>
    <w:basedOn w:val="23"/>
    <w:link w:val="14"/>
    <w:semiHidden/>
    <w:qFormat/>
    <w:uiPriority w:val="99"/>
    <w:rPr>
      <w:rFonts w:eastAsia="宋体"/>
      <w:sz w:val="18"/>
      <w:szCs w:val="18"/>
    </w:rPr>
  </w:style>
  <w:style w:type="paragraph" w:customStyle="1" w:styleId="52">
    <w:name w:val="1级无序号"/>
    <w:basedOn w:val="2"/>
    <w:next w:val="1"/>
    <w:qFormat/>
    <w:uiPriority w:val="0"/>
    <w:pPr>
      <w:numPr>
        <w:numId w:val="0"/>
      </w:numPr>
    </w:pPr>
  </w:style>
  <w:style w:type="paragraph" w:customStyle="1" w:styleId="53">
    <w:name w:val="2级无序号"/>
    <w:basedOn w:val="4"/>
    <w:next w:val="1"/>
    <w:qFormat/>
    <w:uiPriority w:val="0"/>
    <w:pPr>
      <w:numPr>
        <w:ilvl w:val="0"/>
        <w:numId w:val="0"/>
      </w:numPr>
    </w:pPr>
  </w:style>
  <w:style w:type="paragraph" w:customStyle="1" w:styleId="54">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引导语（仅适用于制作模板）"/>
    <w:basedOn w:val="1"/>
    <w:qFormat/>
    <w:uiPriority w:val="0"/>
    <w:pPr>
      <w:ind w:firstLine="200" w:firstLineChars="200"/>
    </w:pPr>
    <w:rPr>
      <w:i/>
      <w:color w:val="7F7F7F" w:themeColor="background1" w:themeShade="80"/>
    </w:rPr>
  </w:style>
  <w:style w:type="table" w:customStyle="1" w:styleId="56">
    <w:name w:val="Table"/>
    <w:basedOn w:val="22"/>
    <w:qFormat/>
    <w:uiPriority w:val="0"/>
    <w:pPr>
      <w:spacing w:line="240" w:lineRule="auto"/>
      <w:ind w:firstLine="0"/>
      <w:jc w:val="left"/>
    </w:pPr>
    <w:rPr>
      <w:rFonts w:ascii="Times New Roman" w:hAnsi="Times New Roman" w:eastAsia="宋体"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7">
    <w:name w:val="Step"/>
    <w:qFormat/>
    <w:uiPriority w:val="0"/>
    <w:pPr>
      <w:numPr>
        <w:ilvl w:val="0"/>
        <w:numId w:val="4"/>
      </w:numPr>
      <w:tabs>
        <w:tab w:val="left" w:pos="1701"/>
      </w:tabs>
      <w:topLinePunct/>
      <w:spacing w:line="360" w:lineRule="auto"/>
    </w:pPr>
    <w:rPr>
      <w:rFonts w:ascii="Times New Roman" w:hAnsi="Times New Roman" w:eastAsia="宋体" w:cstheme="minorBidi"/>
      <w:snapToGrid w:val="0"/>
      <w:sz w:val="21"/>
      <w:szCs w:val="22"/>
      <w:lang w:val="en-US" w:eastAsia="zh-CN" w:bidi="ar-SA"/>
    </w:rPr>
  </w:style>
  <w:style w:type="paragraph" w:customStyle="1" w:styleId="58">
    <w:name w:val="标题五"/>
    <w:basedOn w:val="1"/>
    <w:next w:val="1"/>
    <w:qFormat/>
    <w:uiPriority w:val="0"/>
    <w:pPr>
      <w:spacing w:before="200" w:after="200" w:line="240" w:lineRule="auto"/>
      <w:ind w:firstLine="0"/>
      <w:outlineLvl w:val="4"/>
    </w:pPr>
    <w:rPr>
      <w:b/>
      <w:sz w:val="24"/>
    </w:rPr>
  </w:style>
  <w:style w:type="paragraph" w:customStyle="1" w:styleId="59">
    <w:name w:val="正文下图片"/>
    <w:basedOn w:val="1"/>
    <w:next w:val="1"/>
    <w:qFormat/>
    <w:uiPriority w:val="0"/>
    <w:pPr>
      <w:ind w:left="420" w:firstLine="0"/>
    </w:pPr>
    <w:rPr>
      <w:color w:val="FF0000"/>
    </w:rPr>
  </w:style>
  <w:style w:type="paragraph" w:customStyle="1" w:styleId="60">
    <w:name w:val="项目列举1级"/>
    <w:qFormat/>
    <w:uiPriority w:val="0"/>
    <w:pPr>
      <w:numPr>
        <w:ilvl w:val="0"/>
        <w:numId w:val="5"/>
      </w:numPr>
      <w:spacing w:before="50" w:beforeLines="50" w:after="50" w:afterLines="50"/>
      <w:ind w:left="834" w:hanging="414"/>
      <w:jc w:val="both"/>
    </w:pPr>
    <w:rPr>
      <w:rFonts w:ascii="Times New Roman" w:hAnsi="Times New Roman" w:eastAsia="宋体" w:cstheme="minorBidi"/>
      <w:b/>
      <w:kern w:val="2"/>
      <w:sz w:val="24"/>
      <w:szCs w:val="22"/>
      <w:lang w:val="en-US" w:eastAsia="zh-CN" w:bidi="ar-SA"/>
    </w:rPr>
  </w:style>
  <w:style w:type="paragraph" w:customStyle="1" w:styleId="61">
    <w:name w:val="项目列举下图片"/>
    <w:basedOn w:val="1"/>
    <w:qFormat/>
    <w:uiPriority w:val="0"/>
    <w:pPr>
      <w:ind w:left="868" w:firstLine="0"/>
    </w:pPr>
    <w:rPr>
      <w:color w:val="FF0000"/>
    </w:rPr>
  </w:style>
  <w:style w:type="paragraph" w:customStyle="1" w:styleId="62">
    <w:name w:val="提示说明"/>
    <w:qFormat/>
    <w:uiPriority w:val="0"/>
    <w:rPr>
      <w:rFonts w:ascii="Times New Roman" w:hAnsi="Times New Roman" w:eastAsia="宋体" w:cstheme="minorBidi"/>
      <w:kern w:val="2"/>
      <w:sz w:val="18"/>
      <w:szCs w:val="22"/>
      <w:lang w:val="en-US" w:eastAsia="zh-CN" w:bidi="ar-SA"/>
    </w:rPr>
  </w:style>
  <w:style w:type="character" w:customStyle="1" w:styleId="63">
    <w:name w:val="批注文字 字符"/>
    <w:basedOn w:val="23"/>
    <w:link w:val="12"/>
    <w:semiHidden/>
    <w:qFormat/>
    <w:uiPriority w:val="99"/>
    <w:rPr>
      <w:rFonts w:ascii="Times New Roman" w:hAnsi="Times New Roman" w:eastAsia="宋体"/>
    </w:rPr>
  </w:style>
  <w:style w:type="character" w:customStyle="1" w:styleId="64">
    <w:name w:val="批注主题 字符"/>
    <w:basedOn w:val="63"/>
    <w:link w:val="19"/>
    <w:semiHidden/>
    <w:qFormat/>
    <w:uiPriority w:val="99"/>
    <w:rPr>
      <w:rFonts w:ascii="Times New Roman" w:hAnsi="Times New Roman" w:eastAsia="宋体"/>
      <w:b/>
      <w:bCs/>
    </w:rPr>
  </w:style>
  <w:style w:type="paragraph" w:customStyle="1" w:styleId="65">
    <w:name w:val="附录"/>
    <w:basedOn w:val="52"/>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360政企</Company>
  <Pages>23</Pages>
  <Words>804</Words>
  <Characters>836</Characters>
  <Lines>6</Lines>
  <Paragraphs>1</Paragraphs>
  <TotalTime>6</TotalTime>
  <ScaleCrop>false</ScaleCrop>
  <LinksUpToDate>false</LinksUpToDate>
  <CharactersWithSpaces>841</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2023-05-25T16:44:00Z</dcterms:created>
  <dc:creator>liguihai</dc:creator>
  <cp:lastModifiedBy>Wayne_H</cp:lastModifiedBy>
  <cp:lastPrinted>2020-04-30T17:33:00Z</cp:lastPrinted>
  <dcterms:modified xsi:type="dcterms:W3CDTF">2026-02-27T11:08:59Z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F4DF97B130D04BE79D2D885DCEF7FCFA_12</vt:lpwstr>
  </property>
</Properties>
</file>