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文献精读报告：2026 roadmap on next-generation solid electrolytes for battery applications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：Florian Strauss, Torsten Brezesinski（KIT）等约 40 位作者（含 Münster 大学 Zeier 组、FSU Ouyang 组、McGill McCalla 组等）｜</w:t>
      </w:r>
      <w:r>
        <w:rPr>
          <w:rFonts w:ascii="Times New Roman" w:hAnsi="Times New Roman" w:eastAsia="宋体"/>
          <w:b w:val="0"/>
          <w:i/>
          <w:sz w:val="24"/>
        </w:rPr>
        <w:t>Materials Futures</w:t>
      </w:r>
      <w:r>
        <w:rPr>
          <w:rFonts w:ascii="Times New Roman" w:hAnsi="Times New Roman" w:eastAsia="宋体"/>
          <w:b w:val="0"/>
          <w:sz w:val="24"/>
        </w:rPr>
        <w:t xml:space="preserve"> 5 (2026) 033001（59 页）｜DOI: 10.1088/2752-5724/ae5120（CC-BY 4.0）｜2026-05-04 出版｜精读日期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：由 KIT 牵头、全球多个顶级固态电解质课题组联合撰写的「2026 下一代固态电解质路线图」，勾勒未来十年 SSE 研究的前沿方向。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：全文 14 章（+引言），覆盖硫化物、卤化物、后 Li/Na 体系、氢硼酸盐、全还原电解质、</w:t>
      </w:r>
      <w:r>
        <w:rPr>
          <w:rFonts w:ascii="Times New Roman" w:hAnsi="Times New Roman" w:eastAsia="宋体"/>
          <w:b/>
          <w:sz w:val="24"/>
        </w:rPr>
        <w:t>非晶电解质</w:t>
      </w:r>
      <w:r>
        <w:rPr>
          <w:rFonts w:ascii="Times New Roman" w:hAnsi="Times New Roman" w:eastAsia="宋体"/>
          <w:b w:val="0"/>
          <w:sz w:val="24"/>
        </w:rPr>
        <w:t>、玻璃陶瓷、氧化还原活性电解质、规模化制造、</w:t>
      </w:r>
      <w:r>
        <w:rPr>
          <w:rFonts w:ascii="Times New Roman" w:hAnsi="Times New Roman" w:eastAsia="宋体"/>
          <w:b/>
          <w:sz w:val="24"/>
        </w:rPr>
        <w:t>高通量+机器学习引导合成</w:t>
      </w:r>
      <w:r>
        <w:rPr>
          <w:rFonts w:ascii="Times New Roman" w:hAnsi="Times New Roman" w:eastAsia="宋体"/>
          <w:b w:val="0"/>
          <w:sz w:val="24"/>
        </w:rPr>
        <w:t>、operando 表征、NMR、回收等。核心理念是：SSE 研究正从「实验室里什么可行」转向「实践中什么可放大」，必须平衡（电）化学稳定性、机械韧性、可制造性与可回收性（R0，页 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：卤化物/氧卤化物因易合成、易加工、高压正极相容性突出而成为硫化物/氧化物之外的重要候选；其瓶颈在于对还原性负极的化学不稳定。路线图明确指出：</w:t>
      </w:r>
      <w:r>
        <w:rPr>
          <w:rFonts w:ascii="Times New Roman" w:hAnsi="Times New Roman" w:eastAsia="宋体"/>
          <w:b/>
          <w:sz w:val="24"/>
        </w:rPr>
        <w:t>将易还原的金属中心嵌入非晶/玻璃陶瓷混合阴离子基质，是「抑制负极副反应 + 保持高离子电导」双赢的极具前景策略</w:t>
      </w:r>
      <w:r>
        <w:rPr>
          <w:rFonts w:ascii="Times New Roman" w:hAnsi="Times New Roman" w:eastAsia="宋体"/>
          <w:b w:val="0"/>
          <w:sz w:val="24"/>
        </w:rPr>
        <w:t>（R0，页 12）——这一判断与课题 23 的 TaCl₅/NbCl₅ 非晶界面层思路高度同构。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本篇是课题 23 的</w:t>
      </w:r>
      <w:r>
        <w:rPr>
          <w:rFonts w:ascii="Times New Roman" w:hAnsi="Times New Roman" w:eastAsia="宋体"/>
          <w:b/>
          <w:sz w:val="24"/>
        </w:rPr>
        <w:t>权威背书与路线指引</w:t>
      </w:r>
      <w:r>
        <w:rPr>
          <w:rFonts w:ascii="Times New Roman" w:hAnsi="Times New Roman" w:eastAsia="宋体"/>
          <w:b w:val="0"/>
          <w:sz w:val="24"/>
        </w:rPr>
        <w:t>，三处内容直接命中毕设核心：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第 3 章（卤化物，Zeier 组执笔，页 10–12）</w:t>
      </w:r>
      <w:r>
        <w:rPr>
          <w:rFonts w:ascii="Times New Roman" w:hAnsi="Times New Roman" w:eastAsia="宋体"/>
          <w:b w:val="0"/>
          <w:sz w:val="24"/>
        </w:rPr>
        <w:t>：首次系统提出「玻璃态超离子氧卤化物」AMOCl₄（A=Li⁺/Na⁺，</w:t>
      </w:r>
      <w:r>
        <w:rPr>
          <w:rFonts w:ascii="Times New Roman" w:hAnsi="Times New Roman" w:eastAsia="宋体"/>
          <w:b/>
          <w:sz w:val="24"/>
        </w:rPr>
        <w:t>M=Nb⁵⁺/Ta⁵⁺</w:t>
      </w:r>
      <w:r>
        <w:rPr>
          <w:rFonts w:ascii="Times New Roman" w:hAnsi="Times New Roman" w:eastAsia="宋体"/>
          <w:b w:val="0"/>
          <w:sz w:val="24"/>
        </w:rPr>
        <w:t>，部分 Cl⁻ 被 O²⁻ 取代），O²⁻ 作为玻璃形成剂使电导率突破 &gt;10 mS cm⁻¹（Li）/&gt;1 mS cm⁻¹（Na）（R0，页 11）。</w:t>
      </w:r>
      <w:r>
        <w:rPr>
          <w:rFonts w:ascii="Times New Roman" w:hAnsi="Times New Roman" w:eastAsia="宋体"/>
          <w:b/>
          <w:sz w:val="24"/>
        </w:rPr>
        <w:t>Nb/Ta 五氯化物 + 氧正是课题 23 界面层的前驱体体系</w:t>
      </w:r>
      <w:r>
        <w:rPr>
          <w:rFonts w:ascii="Times New Roman" w:hAnsi="Times New Roman" w:eastAsia="宋体"/>
          <w:b w:val="0"/>
          <w:sz w:val="24"/>
        </w:rPr>
        <w:t>。同时指出 NaTaOCl₄ 接触 Na 金属会被还原分解为 Na 盐/Nb-Ta 盐乃至金属（R0，页 11），反证界面层设计的必要性。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第 3 章结论段</w:t>
      </w:r>
      <w:r>
        <w:rPr>
          <w:rFonts w:ascii="Times New Roman" w:hAnsi="Times New Roman" w:eastAsia="宋体"/>
          <w:b w:val="0"/>
          <w:sz w:val="24"/>
        </w:rPr>
        <w:t>：明确提出「将 M 中心稳定地嵌入非晶混合阴离子基质」可同时（a）抑制与负极的直接反应、（b）保留无序体系的高电导（R0，页 12）。这就是课题 23「非晶界面层稳定 Li₂ZrCl₆/Li 界面」的</w:t>
      </w:r>
      <w:r>
        <w:rPr>
          <w:rFonts w:ascii="Times New Roman" w:hAnsi="Times New Roman" w:eastAsia="宋体"/>
          <w:b/>
          <w:sz w:val="24"/>
        </w:rPr>
        <w:t>原始思想出处级别的依据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第 7 章（非晶电解质，FSU Ouyang 组执笔，页 23–24）</w:t>
      </w:r>
      <w:r>
        <w:rPr>
          <w:rFonts w:ascii="Times New Roman" w:hAnsi="Times New Roman" w:eastAsia="宋体"/>
          <w:b w:val="0"/>
          <w:sz w:val="24"/>
        </w:rPr>
        <w:t>：给出 TaCl₅/NbCl₅ 非晶卤化物的详细机理——球磨 TaCl₅、NbCl₅、AlF₃、GaF₃ 等玻璃形成剂与碱金属盐可制得非晶卤化物；</w:t>
      </w:r>
      <w:r>
        <w:rPr>
          <w:rFonts w:ascii="Times New Roman" w:hAnsi="Times New Roman" w:eastAsia="宋体"/>
          <w:b/>
          <w:sz w:val="24"/>
        </w:rPr>
        <w:t>TaCl₅/NbCl₅ 基 Li 导体得益于更大自由体积与多面体转动（而非更低迁移势垒）</w:t>
      </w:r>
      <w:r>
        <w:rPr>
          <w:rFonts w:ascii="Times New Roman" w:hAnsi="Times New Roman" w:eastAsia="宋体"/>
          <w:b w:val="0"/>
          <w:sz w:val="24"/>
        </w:rPr>
        <w:t>（R0，页 24），为课题 23 计算非晶界面层的输运机理提供了关键物理图像。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第 11 章（高通量+ML，McGill McCalla 组，页 37）</w:t>
      </w:r>
      <w:r>
        <w:rPr>
          <w:rFonts w:ascii="Times New Roman" w:hAnsi="Times New Roman" w:eastAsia="宋体"/>
          <w:b w:val="0"/>
          <w:sz w:val="24"/>
        </w:rPr>
        <w:t>：展示了 ML 引导将 1500 万组合筛到约 1000 个样品（R0，页 37），正是课题 23/47/24「MLIP 加速材料发现」的方法学背景。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志愿整体：本篇同时是 50（合成）、24（离子传导）、22（ML 方法）、47（MLIP 相稳定）的共同纲领性文献，是理解「计算+自动化+ML」范式的最前沿参照。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引言（页 4）</w:t>
      </w:r>
      <w:r>
        <w:rPr>
          <w:rFonts w:ascii="Times New Roman" w:hAnsi="Times New Roman" w:eastAsia="宋体"/>
          <w:b w:val="0"/>
          <w:sz w:val="24"/>
        </w:rPr>
        <w:t>：指出 LGPS 室温电导媲美液态电解质是标志性突破；研究已从孤立发现转向结构-性质关系、缺陷化学、迁移机理与界面现象的体系化理解；范式正从「纯追离子电导」转向「综合平衡稳定性/韧性/可制造/可回收」。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2 章 硫化物（页 6）</w:t>
      </w:r>
      <w:r>
        <w:rPr>
          <w:rFonts w:ascii="Times New Roman" w:hAnsi="Times New Roman" w:eastAsia="宋体"/>
          <w:b w:val="0"/>
          <w:sz w:val="24"/>
        </w:rPr>
        <w:t>：作为卤化物缓冲层（如 Li₆PS₅Cl）的对照体系，简要覆盖其材料-器件视角。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3 章 卤化物（页 10–12，Zeier 组）</w:t>
      </w:r>
      <w:r>
        <w:rPr>
          <w:rFonts w:ascii="Times New Roman" w:hAnsi="Times New Roman" w:eastAsia="宋体"/>
          <w:b w:val="0"/>
          <w:sz w:val="24"/>
        </w:rPr>
        <w:t>：Li⁺ 氯化物多为 Li₃MCl₆（M=Sc/Y/In/Ho）岩盐相关结构；异价阳离子取代 Li₃₋ₓM₁₋ₓZrₓCl₆ 引入 Li⁺ 空位、提升电导（空位主导扩散）；Cl⁻→Br⁻/I⁻ 等价阴离子取代亦可提升电导（机理未明，假说含晶格极化、膨胀、超离子转变抑制、金属中心无序）。Na⁺ 氯化物 NaxMCl₆ 电导极低（~10⁻⁵ mS cm⁻¹，因 Na⁺ 更大）。玻璃态氧卤化物 AMOCl₄ 数据见课题关联第 1 点。负极界面：Li₃InCl₆/Li₃YCl₆ 与负极接触生成 LiCl + In 金属等绝缘钝化层，阻碍离子传输（R0，页 11），故卤化物多仅用作正极侧 catholyte。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4–6 章 后 Li/Na、氢硼酸盐、全还原电解质（页 13–22）</w:t>
      </w:r>
      <w:r>
        <w:rPr>
          <w:rFonts w:ascii="Times New Roman" w:hAnsi="Times New Roman" w:eastAsia="宋体"/>
          <w:b w:val="0"/>
          <w:sz w:val="24"/>
        </w:rPr>
        <w:t>：拓展电解质化学空间（K/Mg 等）。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7 章 非晶电解质（页 23–24，Ouyang 组）</w:t>
      </w:r>
      <w:r>
        <w:rPr>
          <w:rFonts w:ascii="Times New Roman" w:hAnsi="Times New Roman" w:eastAsia="宋体"/>
          <w:b w:val="0"/>
          <w:sz w:val="24"/>
        </w:rPr>
        <w:t xml:space="preserve">：非晶态优点——可调电导、抑制枝晶、消除晶界电阻、机械柔性好（如 LiPON）。分类与关键数据：硫化物玻璃陶瓷 Li₇P₃S₁₁ 达 17 mS cm⁻¹；卤化物非晶 </w:t>
      </w:r>
      <w:r>
        <w:rPr>
          <w:rFonts w:ascii="Times New Roman" w:hAnsi="Times New Roman" w:eastAsia="宋体"/>
          <w:b/>
          <w:sz w:val="24"/>
        </w:rPr>
        <w:t>2LiCl-0.5AlF₃-0.5GaF₃ 达 16 mS cm⁻¹（深共晶相）</w:t>
      </w:r>
      <w:r>
        <w:rPr>
          <w:rFonts w:ascii="Times New Roman" w:hAnsi="Times New Roman" w:eastAsia="宋体"/>
          <w:b w:val="0"/>
          <w:sz w:val="24"/>
        </w:rPr>
        <w:t>；TaCl₅/NbCl₅ 基非晶卤化物机理（见课题关联第 3 点）。最佳非晶电导已达 ~10⁻² S cm⁻¹，但「理性设计原则仍不成熟」（R0，页 23）——为 MLIP 计算留出空间。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8 章 玻璃陶瓷卤化物（页 27）</w:t>
      </w:r>
      <w:r>
        <w:rPr>
          <w:rFonts w:ascii="Times New Roman" w:hAnsi="Times New Roman" w:eastAsia="宋体"/>
          <w:b w:val="0"/>
          <w:sz w:val="24"/>
        </w:rPr>
        <w:t>：玻璃陶瓷是介于晶态与非晶态的折中路线。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9–10 章 氧化还原活性电解质、规模化制造（页 31–36）</w:t>
      </w:r>
      <w:r>
        <w:rPr>
          <w:rFonts w:ascii="Times New Roman" w:hAnsi="Times New Roman" w:eastAsia="宋体"/>
          <w:b w:val="0"/>
          <w:sz w:val="24"/>
        </w:rPr>
        <w:t>：前者指出卤化物可利用自身氧化还原性提升能量密度；后者聚焦放大工艺。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11 章 高通量+ML（页 37，McCalla 组）</w:t>
      </w:r>
      <w:r>
        <w:rPr>
          <w:rFonts w:ascii="Times New Roman" w:hAnsi="Times New Roman" w:eastAsia="宋体"/>
          <w:b w:val="0"/>
          <w:sz w:val="24"/>
        </w:rPr>
        <w:t>：Berkeley A-lab（全自动，仅限 XRD）与 McCalla 半自动平台（年合成 ~1500 材料，检测电导/电子电导/电化学窗口/对金属负极化学稳定/力学相容等全套性质）；吞吐量可达 &gt;10000 样品/年；ML 有效闭环降样（R0，页 37）。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12–14 章 operando 表征、NMR、回收（页 40–46）</w:t>
      </w:r>
      <w:r>
        <w:rPr>
          <w:rFonts w:ascii="Times New Roman" w:hAnsi="Times New Roman" w:eastAsia="宋体"/>
          <w:b w:val="0"/>
          <w:sz w:val="24"/>
        </w:rPr>
        <w:t>：强调原位分析与缺陷结构表征（NMR）、以及闭环设计的可持续性。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卤化物对负极的化学不稳定</w:t>
      </w:r>
      <w:r>
        <w:rPr>
          <w:rFonts w:ascii="Times New Roman" w:hAnsi="Times New Roman" w:eastAsia="宋体"/>
          <w:b w:val="0"/>
          <w:sz w:val="24"/>
        </w:rPr>
        <w:t>：接触 LiIn/NaSn 等还原性负极发生离子插层→还原分解，生成 LiCl/金属等绝缘钝化层（R0，页 11），是限制其独立作为电解质使用的核心障碍。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非晶/无序体系的机理不清</w:t>
      </w:r>
      <w:r>
        <w:rPr>
          <w:rFonts w:ascii="Times New Roman" w:hAnsi="Times New Roman" w:eastAsia="宋体"/>
          <w:b w:val="0"/>
          <w:sz w:val="24"/>
        </w:rPr>
        <w:t>：TaCl₅/NbCl₅ 玻璃的高电导来源（自由体积 vs. 迁移势垒）尚未定论，缺乏理性设计原则（R0，页 23–24）——这正是 MLIP/DFT 计算的用武之地。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阴离子取代机理不明</w:t>
      </w:r>
      <w:r>
        <w:rPr>
          <w:rFonts w:ascii="Times New Roman" w:hAnsi="Times New Roman" w:eastAsia="宋体"/>
          <w:b w:val="0"/>
          <w:sz w:val="24"/>
        </w:rPr>
        <w:t>：Cl→Br/I 提升电导的机制仍处假说阶段（R0，页 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高通量闭环的瓶颈</w:t>
      </w:r>
      <w:r>
        <w:rPr>
          <w:rFonts w:ascii="Times New Roman" w:hAnsi="Times New Roman" w:eastAsia="宋体"/>
          <w:b w:val="0"/>
          <w:sz w:val="24"/>
        </w:rPr>
        <w:t>：全自动系统目前多限于 XRD，无法高通量测电化学稳定性窗口、对负极稳定性等关键性质（R0，页 37）。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规模化的性质权衡</w:t>
      </w:r>
      <w:r>
        <w:rPr>
          <w:rFonts w:ascii="Times New Roman" w:hAnsi="Times New Roman" w:eastAsia="宋体"/>
          <w:b w:val="0"/>
          <w:sz w:val="24"/>
        </w:rPr>
        <w:t>：单一追求电导/容量/界面稳定都难给出完整解，需组合策略（R0，页 25，见 Wu2024 结论呼应）。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「非晶混合阴离子基质稳定 M 中心」策略</w:t>
      </w:r>
      <w:r>
        <w:rPr>
          <w:rFonts w:ascii="Times New Roman" w:hAnsi="Times New Roman" w:eastAsia="宋体"/>
          <w:b w:val="0"/>
          <w:sz w:val="24"/>
        </w:rPr>
        <w:t>（R0，页 12）可作为课题 23 立项论证的核心引用，把毕设从「做一个界面层」提升为「实现路线图钦点的下一代策略」。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AMOCl₄（A=Li/Na, M=Nb⁵⁺/Ta⁵⁺）体系数据</w:t>
      </w:r>
      <w:r>
        <w:rPr>
          <w:rFonts w:ascii="Times New Roman" w:hAnsi="Times New Roman" w:eastAsia="宋体"/>
          <w:b w:val="0"/>
          <w:sz w:val="24"/>
        </w:rPr>
        <w:t>（R0，页 11）为 TaCl₅/NbCl₅ 界面层的成分空间提供直接先验：氧是玻璃形成剂、Ta/Nb 是高价玻璃形成阳离子。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非晶卤化物的输运机理假说（自由体积 + 多面体转动，R0，页 24）</w:t>
      </w:r>
      <w:r>
        <w:rPr>
          <w:rFonts w:ascii="Times New Roman" w:hAnsi="Times New Roman" w:eastAsia="宋体"/>
          <w:b w:val="0"/>
          <w:sz w:val="24"/>
        </w:rPr>
        <w:t>：可在计算报告中设计「转动/自由体积 vs. 迁移势垒」的分解分析，回应对机理的争议。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ML 引导降样的量化案例</w:t>
      </w:r>
      <w:r>
        <w:rPr>
          <w:rFonts w:ascii="Times New Roman" w:hAnsi="Times New Roman" w:eastAsia="宋体"/>
          <w:b w:val="0"/>
          <w:sz w:val="24"/>
        </w:rPr>
        <w:t>（1500 万→1000 样品，R0，页 37）：可作为毕设「MLIP 加速筛选」的效费比论证模板。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高通量需测的「全套性质清单」</w:t>
      </w:r>
      <w:r>
        <w:rPr>
          <w:rFonts w:ascii="Times New Roman" w:hAnsi="Times New Roman" w:eastAsia="宋体"/>
          <w:b w:val="0"/>
          <w:sz w:val="24"/>
        </w:rPr>
        <w:t>（离子/电子电导、电化学窗口、对负极稳定性、力学相容，R0，页 37）：可直接转化为毕设计算输出指标的 checklist。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（R2）路线图把「非晶化稳定卤化物金属中心」列为 promising 策略，但明确「precise origin is yet to be determined」（R0，页 11），课题 23 的 DFT+MLIP 计算恰好可回答这个机理空缺，选题与全球前沿需求高度对齐。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（R2）第 7 章由 FSU Ouyang 组执笔，其擅长 MLIP/机器学习势（该组是 MACE 等 E(3)-等变势的重要推动者之一，R1），与本批 MACE 文献形成方法学呼应；毕设若采用 MACE 类势，可对标该组的计算范式。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（R2）TaCl₅/NbCl₅ 非晶界面层若能同时满足「电子绝缘（阻断还原）+ 离子导通（自由体积/转动）+ 与两侧化学相容」，则可能从「界面层」升级为「独立卤化物电解质」，是毕设的潜在拔高方向。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（R1）可持续性/回收（第 14 章）对含 Ta/Nb 稀有金属的体系尤其重要，可作为毕设展望部分的补充讨论。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