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文献精读报告：Exploring the Potential of Halide Electrolytes for Next-Generation All-Solid-State Lithium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：Jinghua Wu, Jiahao Li, Xiayin Yao（中科院宁波材料技术与工程研究所）｜</w:t>
      </w:r>
      <w:r>
        <w:rPr>
          <w:rFonts w:ascii="Times New Roman" w:hAnsi="Times New Roman" w:eastAsia="宋体"/>
          <w:b w:val="0"/>
          <w:i/>
          <w:sz w:val="24"/>
        </w:rPr>
        <w:t>Advanced Functional Materials</w:t>
      </w:r>
      <w:r>
        <w:rPr>
          <w:rFonts w:ascii="Times New Roman" w:hAnsi="Times New Roman" w:eastAsia="宋体"/>
          <w:b w:val="0"/>
          <w:sz w:val="24"/>
        </w:rPr>
        <w:t xml:space="preserve"> 2025, 35, 2416671（在线出版 2024）｜DOI: 10.1002/adfm.202416671｜精读日期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：中科院宁波材料所姚霞银团队的一篇卤化物电解质（Halide Electrolytes）进展综述，聚焦 2018 年 Li₃YCl₆ 突破以来的结构-输运机理、合成、改性、稳定性与界面四大维度。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：按中心金属价态（二价/三价/四价）分类梳理卤化物电解质；系统讨论固相/液相合成、阳离子/阴离子改性、</w:t>
      </w:r>
      <w:r>
        <w:rPr>
          <w:rFonts w:ascii="Times New Roman" w:hAnsi="Times New Roman" w:eastAsia="宋体"/>
          <w:b/>
          <w:sz w:val="24"/>
        </w:rPr>
        <w:t>非晶化（Amorphization）</w:t>
      </w:r>
      <w:r>
        <w:rPr>
          <w:rFonts w:ascii="Times New Roman" w:hAnsi="Times New Roman" w:eastAsia="宋体"/>
          <w:b w:val="0"/>
          <w:sz w:val="24"/>
        </w:rPr>
        <w:t>策略；重点剖析化学稳定性、电化学稳定性与正负极界面稳定性。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：卤化物电解质具备 &gt;10⁻³ S cm⁻¹ 电导率、4–6 V 氧化稳定窗口与良好机械柔性，是 ASSLB 的强力候选；但还原稳定性差（中心金属被锂还原为金属态）是其最大短板，必须引入界面缓冲层（buffer layer）才能搭配锂金属负极。作者提出未来六大方向：电导率、成本、合成、空气稳定、聚合物相容、腐蚀性。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本篇是课题 23 最</w:t>
      </w:r>
      <w:r>
        <w:rPr>
          <w:rFonts w:ascii="Times New Roman" w:hAnsi="Times New Roman" w:eastAsia="宋体"/>
          <w:b/>
          <w:sz w:val="24"/>
        </w:rPr>
        <w:t>直接相关的背景综述之一</w:t>
      </w:r>
      <w:r>
        <w:rPr>
          <w:rFonts w:ascii="Times New Roman" w:hAnsi="Times New Roman" w:eastAsia="宋体"/>
          <w:b w:val="0"/>
          <w:sz w:val="24"/>
        </w:rPr>
        <w:t>，理由有三：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Li₂ZrCl₆ 的权威结构-输运数据</w:t>
      </w:r>
      <w:r>
        <w:rPr>
          <w:rFonts w:ascii="Times New Roman" w:hAnsi="Times New Roman" w:eastAsia="宋体"/>
          <w:b w:val="0"/>
          <w:sz w:val="24"/>
        </w:rPr>
        <w:t>（R0，第 2.3 节，页 4）：α-Li₂ZrCl₆（三角，球磨）与 β-Li₂ZrCl₆（单斜，退火）的 Li⁺ 迁移势垒分别为 0.803 eV 与 0.809 eV，而层间迁移势垒高达 2.987 eV；层状结构中存在三类通道（0.14–0.67 eV）。这些正是课题 23 界面层 DFT 计算可直接对标的体相参数。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非晶化策略（第 4.3 节，页 12–13）直接命中课题 23 的「非晶界面层」思想</w:t>
      </w:r>
      <w:r>
        <w:rPr>
          <w:rFonts w:ascii="Times New Roman" w:hAnsi="Times New Roman" w:eastAsia="宋体"/>
          <w:b w:val="0"/>
          <w:sz w:val="24"/>
        </w:rPr>
        <w:t>：xLi₂O-TaCl₅（M=Ta/Hf）氧氯化物非晶电解质电导率达 6.6×10⁻³ S cm⁻¹，</w:t>
      </w:r>
      <w:r>
        <w:rPr>
          <w:rFonts w:ascii="Times New Roman" w:hAnsi="Times New Roman" w:eastAsia="宋体"/>
          <w:b/>
          <w:sz w:val="24"/>
        </w:rPr>
        <w:t>TaCl₅ 正是课题 23 界面层的前驱体</w:t>
      </w:r>
      <w:r>
        <w:rPr>
          <w:rFonts w:ascii="Times New Roman" w:hAnsi="Times New Roman" w:eastAsia="宋体"/>
          <w:b w:val="0"/>
          <w:sz w:val="24"/>
        </w:rPr>
        <w:t>；Li₁.₇₅ZrCl₄.₇₅O₀.₅ 非晶化后电导率升至 2.42×10⁻³ S cm⁻¹；Li₂.₅ZrCl₅F₀.₅O₀.₅ 非晶态兼顾 4.87 V 高压与 1.17 mS cm⁻¹ 电导。这些为「非晶层可同时改善导 Li 与稳定」提供了实验证据。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锂金属负极界面（第 7.2 节，页 21–23）为课题 23 提供了完整的问题定义与解决范式</w:t>
      </w:r>
      <w:r>
        <w:rPr>
          <w:rFonts w:ascii="Times New Roman" w:hAnsi="Times New Roman" w:eastAsia="宋体"/>
          <w:b w:val="0"/>
          <w:sz w:val="24"/>
        </w:rPr>
        <w:t>：Li₃InCl₆/Li₃YCl₆ 与锂持续反应生成混合导电界面、Li₂ZrCl₆ 与硫化物缓冲层 Li₆PS₅Cl 的高反应活性（Samanta 等，R0，页 23），都说明「直接接触不可行、必须做界面层」，且提示</w:t>
      </w:r>
      <w:r>
        <w:rPr>
          <w:rFonts w:ascii="Times New Roman" w:hAnsi="Times New Roman" w:eastAsia="宋体"/>
          <w:b/>
          <w:sz w:val="24"/>
        </w:rPr>
        <w:t>界面层材料本身的化学相容性也需要被计算评估</w:t>
      </w:r>
      <w:r>
        <w:rPr>
          <w:rFonts w:ascii="Times New Roman" w:hAnsi="Times New Roman" w:eastAsia="宋体"/>
          <w:b w:val="0"/>
          <w:sz w:val="24"/>
        </w:rPr>
        <w:t>——这正是 DFT+MLIP 能发挥作用的环节。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 7 志愿整体：本篇覆盖 50（液相合成）、24（离子传导机理）、47（MLIP 相稳定性）的交叉知识，是非晶/无序体系计算与实验结合的样板。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内容深度解读（按论文自身结构）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引言（页 1–2）</w:t>
      </w:r>
      <w:r>
        <w:rPr>
          <w:rFonts w:ascii="Times New Roman" w:hAnsi="Times New Roman" w:eastAsia="宋体"/>
          <w:b w:val="0"/>
          <w:sz w:val="24"/>
        </w:rPr>
        <w:t>：对比硫化物（吸湿产 H₂S）、氧化物（刚性难集成）与卤化物（电导 &gt;10⁻³ S cm⁻¹、氧化稳定 4–6 V）。关键节点：1930s 研究 LiX（LiI 最高仅 ~10⁻⁷ S cm⁻¹）；</w:t>
      </w:r>
      <w:r>
        <w:rPr>
          <w:rFonts w:ascii="Times New Roman" w:hAnsi="Times New Roman" w:eastAsia="宋体"/>
          <w:b/>
          <w:sz w:val="24"/>
        </w:rPr>
        <w:t>2018 年松下 Asano 团队报道 Li₃YCl₆（5.1×10⁻⁴）与 Li₃YBr₆（1.7×10⁻³ S cm⁻¹）</w:t>
      </w:r>
      <w:r>
        <w:rPr>
          <w:rFonts w:ascii="Times New Roman" w:hAnsi="Times New Roman" w:eastAsia="宋体"/>
          <w:b w:val="0"/>
          <w:sz w:val="24"/>
        </w:rPr>
        <w:t>，首次突破 10⁻³（R0，页 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结构与输运机理（页 2–5）</w:t>
      </w:r>
      <w:r>
        <w:rPr>
          <w:rFonts w:ascii="Times New Roman" w:hAnsi="Times New Roman" w:eastAsia="宋体"/>
          <w:b w:val="0"/>
          <w:sz w:val="24"/>
        </w:rPr>
        <w:t>：通式 LiₐMX_b，按 M 价态分类。2.1 二价（Li₂MCl₄、Li₆MCl₈，M=Ti,V,Cr,Mn,Fe,Co,Ni）；2.2 三价（Li₃YCl₆、Li₃InCl₆、Li₃ScCl₆ 等）；2.3 四价（</w:t>
      </w:r>
      <w:r>
        <w:rPr>
          <w:rFonts w:ascii="Times New Roman" w:hAnsi="Times New Roman" w:eastAsia="宋体"/>
          <w:b/>
          <w:sz w:val="24"/>
        </w:rPr>
        <w:t>Li₂ZrCl₆、Li₂HfCl₆</w:t>
      </w:r>
      <w:r>
        <w:rPr>
          <w:rFonts w:ascii="Times New Roman" w:hAnsi="Times New Roman" w:eastAsia="宋体"/>
          <w:b w:val="0"/>
          <w:sz w:val="24"/>
        </w:rPr>
        <w:t>）——详见上文课题关联第 1 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合成方法（页 5–10）</w:t>
      </w:r>
      <w:r>
        <w:rPr>
          <w:rFonts w:ascii="Times New Roman" w:hAnsi="Times New Roman" w:eastAsia="宋体"/>
          <w:b w:val="0"/>
          <w:sz w:val="24"/>
        </w:rPr>
        <w:t>：3.1 固相合成（烧结、球磨）；3.2 液相合成（水介导，节能可放大但仅限不易水解体系）。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改性策略（页 10–13）</w:t>
      </w:r>
      <w:r>
        <w:rPr>
          <w:rFonts w:ascii="Times New Roman" w:hAnsi="Times New Roman" w:eastAsia="宋体"/>
          <w:b w:val="0"/>
          <w:sz w:val="24"/>
        </w:rPr>
        <w:t xml:space="preserve">：4.1 阳离子改性（异价/等价掺杂，引入额外输运通道）；4.2 阴离子改性（改变晶格参数、促进 3D 扩散）；4.3 </w:t>
      </w:r>
      <w:r>
        <w:rPr>
          <w:rFonts w:ascii="Times New Roman" w:hAnsi="Times New Roman" w:eastAsia="宋体"/>
          <w:b/>
          <w:sz w:val="24"/>
        </w:rPr>
        <w:t>非晶化</w:t>
      </w:r>
      <w:r>
        <w:rPr>
          <w:rFonts w:ascii="Times New Roman" w:hAnsi="Times New Roman" w:eastAsia="宋体"/>
          <w:b w:val="0"/>
          <w:sz w:val="24"/>
        </w:rPr>
        <w:t>——非晶态优势为柔性、无晶界、组分可调、离子传导均匀，但电导率通常低于晶态（R0，页 11）。氧掺杂诱发非晶化的系列数据见上文课题关联第 2 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化学稳定性（页 13–14）</w:t>
      </w:r>
      <w:r>
        <w:rPr>
          <w:rFonts w:ascii="Times New Roman" w:hAnsi="Times New Roman" w:eastAsia="宋体"/>
          <w:b w:val="0"/>
          <w:sz w:val="24"/>
        </w:rPr>
        <w:t>：卤化物吸湿，吸水后结构退化常不可逆。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电化学稳定性（页 14–16）</w:t>
      </w:r>
      <w:r>
        <w:rPr>
          <w:rFonts w:ascii="Times New Roman" w:hAnsi="Times New Roman" w:eastAsia="宋体"/>
          <w:b w:val="0"/>
          <w:sz w:val="24"/>
        </w:rPr>
        <w:t>：氧化电位由阴离子决定、还原电位由阳离子决定；实际稳定性还取决于界面产物稳定性，故多数卤化物实际氧化稳定性优于本征电化学窗口。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界面稳定性（页 16–24）</w:t>
      </w:r>
      <w:r>
        <w:rPr>
          <w:rFonts w:ascii="Times New Roman" w:hAnsi="Times New Roman" w:eastAsia="宋体"/>
          <w:b w:val="0"/>
          <w:sz w:val="24"/>
        </w:rPr>
        <w:t>：7.1 正极界面（氧化物正极相容性好）；7.2 负极界面——Riegger 等用原位 XPS 证明 Li₃InCl₆/Li 界面生成 In 金属与 In₂O₃，阻抗随时间增长（R0，页 21）；Fu 等证明 Li₃YX₆ 与锂反应</w:t>
      </w:r>
      <w:r>
        <w:rPr>
          <w:rFonts w:ascii="Times New Roman" w:hAnsi="Times New Roman" w:eastAsia="宋体"/>
          <w:b/>
          <w:sz w:val="24"/>
        </w:rPr>
        <w:t>非自限</w:t>
      </w:r>
      <w:r>
        <w:rPr>
          <w:rFonts w:ascii="Times New Roman" w:hAnsi="Times New Roman" w:eastAsia="宋体"/>
          <w:b w:val="0"/>
          <w:sz w:val="24"/>
        </w:rPr>
        <w:t>，产物为 Y + LiX 的离子-电子混合导电层，持续分解直至某反应物耗尽（R0，页 22）。缓冲层策略：Li₆PS₅Cl（Li/LPSC/LYC/LPSC/Li 稳定循环 1000 h）、Li₇P₃S₁₁、二元锂化合物涂层；</w:t>
      </w:r>
      <w:r>
        <w:rPr>
          <w:rFonts w:ascii="Times New Roman" w:hAnsi="Times New Roman" w:eastAsia="宋体"/>
          <w:b/>
          <w:sz w:val="24"/>
        </w:rPr>
        <w:t>Samanta 等发现 Li₂ZrCl₆ 与 Li₆PS₅Cl 高反应活性（不利），而 Li₃YCl₆/Li₃ScCl₆/Li₃ErCl₆ 相容性好</w:t>
      </w:r>
      <w:r>
        <w:rPr>
          <w:rFonts w:ascii="Times New Roman" w:hAnsi="Times New Roman" w:eastAsia="宋体"/>
          <w:b w:val="0"/>
          <w:sz w:val="24"/>
        </w:rPr>
        <w:t>（R0，页 23）。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结论与展望（页 25–26）</w:t>
      </w:r>
      <w:r>
        <w:rPr>
          <w:rFonts w:ascii="Times New Roman" w:hAnsi="Times New Roman" w:eastAsia="宋体"/>
          <w:b w:val="0"/>
          <w:sz w:val="24"/>
        </w:rPr>
        <w:t>：实际卤化物电导 ~10⁻³ 而理论可达 10⁻²（可通过调节阳离子/空位浓度逼近）；建议用廉价丰产金属（Zr、Fe）降本；发展液相/水相合成；提升空气稳定；探索聚合物复合减薄；关注卤素对集流体/壳体的腐蚀（R0，页 25–26）。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还原稳定性差</w:t>
      </w:r>
      <w:r>
        <w:rPr>
          <w:rFonts w:ascii="Times New Roman" w:hAnsi="Times New Roman" w:eastAsia="宋体"/>
          <w:b w:val="0"/>
          <w:sz w:val="24"/>
        </w:rPr>
        <w:t>：中心金属阳离子被锂还原为金属态，形成混合导电界面并持续增厚，是卤化物搭配锂金属的根本障碍（R0，页 21–22）。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非晶态的离子传导机理不清</w:t>
      </w:r>
      <w:r>
        <w:rPr>
          <w:rFonts w:ascii="Times New Roman" w:hAnsi="Times New Roman" w:eastAsia="宋体"/>
          <w:b w:val="0"/>
          <w:sz w:val="24"/>
        </w:rPr>
        <w:t>：缺乏长程有序、又缺少成熟的非晶结构建模与离子扩散预测理论，制约非晶电解质理性设计（R0，页 11）——这正是 MLIP 可介入的空白点。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界面层本身的化学相容性</w:t>
      </w:r>
      <w:r>
        <w:rPr>
          <w:rFonts w:ascii="Times New Roman" w:hAnsi="Times New Roman" w:eastAsia="宋体"/>
          <w:b w:val="0"/>
          <w:sz w:val="24"/>
        </w:rPr>
        <w:t>：Li₂ZrCl₆ 与 Li₆PS₅Cl 缓冲层会反应生成新相，损害长期循环（R0，页 23），意味着「加层」不是万能解，需要系统筛选。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吸湿性</w:t>
      </w:r>
      <w:r>
        <w:rPr>
          <w:rFonts w:ascii="Times New Roman" w:hAnsi="Times New Roman" w:eastAsia="宋体"/>
          <w:b w:val="0"/>
          <w:sz w:val="24"/>
        </w:rPr>
        <w:t>：结构退化不可逆，制约储存与运输（R0，页 25）。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腐蚀性：卤素离子对电池壳体/集流体的腐蚀研究极少但已被观察到（R0，页 26）。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可借鉴点（对毕设/学习直接有用）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可直接引用的体相数据</w:t>
      </w:r>
      <w:r>
        <w:rPr>
          <w:rFonts w:ascii="Times New Roman" w:hAnsi="Times New Roman" w:eastAsia="宋体"/>
          <w:b w:val="0"/>
          <w:sz w:val="24"/>
        </w:rPr>
        <w:t>：Li₂ZrCl₆ 的 α/β 结构迁移势垒（0.803/0.809 eV）与层间 2.987 eV 高势垒（R0，页 4），可作为课题 23 DFT 计算的基准校验值。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TaCl₅ 前驱体的非晶化先例</w:t>
      </w:r>
      <w:r>
        <w:rPr>
          <w:rFonts w:ascii="Times New Roman" w:hAnsi="Times New Roman" w:eastAsia="宋体"/>
          <w:b w:val="0"/>
          <w:sz w:val="24"/>
        </w:rPr>
        <w:t>：xLi₂O-TaCl₅ 体系（R0，页 12）证明 TaCl₅ 可与氧/Li₂O 结合形成高导非晶网络，为课题 23 用 TaCl₅ 构建界面层提供实验支撑与可能机理（氧桥连接 Ta 三角双锥）。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界面层设计双准则</w:t>
      </w:r>
      <w:r>
        <w:rPr>
          <w:rFonts w:ascii="Times New Roman" w:hAnsi="Times New Roman" w:eastAsia="宋体"/>
          <w:b w:val="0"/>
          <w:sz w:val="24"/>
        </w:rPr>
        <w:t>：电子绝缘 + 离子导通，且要评估界面层与两侧材料的化学相容性（Samanta 结论，R0，页 23）——可作为毕设计算的筛选判据。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「理论电导上限 10⁻² S cm⁻¹」</w:t>
      </w:r>
      <w:r>
        <w:rPr>
          <w:rFonts w:ascii="Times New Roman" w:hAnsi="Times New Roman" w:eastAsia="宋体"/>
          <w:b w:val="0"/>
          <w:sz w:val="24"/>
        </w:rPr>
        <w:t>（R0，页 25）可用来论证对无序/多组分体系进行高通量计算的必要性。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 w:val="0"/>
          <w:sz w:val="24"/>
        </w:rPr>
        <w:t>学习价值：建立卤化物电解质「结构-合成-改性-界面」完整链条，尤其理解非晶态这一与毕设密切相关的相态。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（R2）本篇明确指出「非晶态缺乏结构建模与离子扩散预测理论」是瓶颈（R0，页 11），课题 23 用 MLIP 对 TaCl₅/NbCl₅ 非晶界面层做 DFT 级精度的分子动力学，恰好填补此空白——这是毕设「必要性论证」的有力支点。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（R2）Li₂ZrCl₆ 与 Li₆PS₅Cl 的高反应活性提示：课题 23 若选择 TaCl₅/NbCl₅ 界面层，需额外计算该层与 Li₂ZrCl₆ 体相、与锂金属两侧的反应能/界面能，避免「按下葫芦浮起瓢」。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（R2）NbCl₅ 与 TaCl₅ 同属第 5 族五氯化物，Nb 更廉价丰产，用 Nb 替代/部分替代 Ta 符合本文「降本」建议（R0，页 25），或可作为毕设的一个对比变量。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（R1）后续可结合 Deng 组 2025 JMCA（无序多组分 SSE 加速发现）看计算方法学如何落地到这类非晶/无序氯化物体系。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