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文献精读报告：Design principles for solid-state lithium superionic conductors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：Yan Wang, William Davidson Richards, Shyue Ping Ong, Lincoln J. Miara, Jae Chul Kim, Yifei Mo, Gerbrand Ceder ｜ </w:t>
      </w:r>
      <w:r>
        <w:rPr>
          <w:rFonts w:ascii="Times New Roman" w:hAnsi="Times New Roman" w:eastAsia="宋体"/>
          <w:b w:val="0"/>
          <w:i/>
          <w:sz w:val="24"/>
        </w:rPr>
        <w:t>Nature Materials</w:t>
      </w:r>
      <w:r>
        <w:rPr>
          <w:rFonts w:ascii="Times New Roman" w:hAnsi="Times New Roman" w:eastAsia="宋体"/>
          <w:b w:val="0"/>
          <w:sz w:val="24"/>
        </w:rPr>
        <w:t xml:space="preserve"> 14, 1026–1031 (2015) ｜ DOI: 10.1038/NMAT4369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文献速览总结（一句话定位 + 核心内容 + 主要结论）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定位</w:t>
      </w:r>
      <w:r>
        <w:rPr>
          <w:rFonts w:ascii="Times New Roman" w:hAnsi="Times New Roman" w:eastAsia="宋体"/>
          <w:b w:val="0"/>
          <w:sz w:val="24"/>
        </w:rPr>
        <w:t>：这是固态锂超离子导体领域的奠基性"设计原则"论文，为"什么样的阴离子骨架能带来高离子电导"给出了一个统一、可量化的判据，是课题 24（Li₃PS₄ 离子传导计算）的理论源头之一。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：作者把固态锂导体的</w:t>
      </w:r>
      <w:r>
        <w:rPr>
          <w:rFonts w:ascii="Times New Roman" w:hAnsi="Times New Roman" w:eastAsia="宋体"/>
          <w:b/>
          <w:sz w:val="24"/>
        </w:rPr>
        <w:t>阴离子（S²⁻）亚晶格</w:t>
      </w:r>
      <w:r>
        <w:rPr>
          <w:rFonts w:ascii="Times New Roman" w:hAnsi="Times New Roman" w:eastAsia="宋体"/>
          <w:b w:val="0"/>
          <w:sz w:val="24"/>
        </w:rPr>
        <w:t>用结构匹配算法（pymatgen）映射到 bcc、fcc、hcp 三种最密堆积框架，再在"裸 S²⁻ 晶格 + 单个 Li⁺"的稀释极限下用 DFT+NEB 计算迁移势垒，并配合 900 K 的 ab initio 分子动力学（AIMD）概率密度作验证。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体心立方（bcc）型阴离子骨架最优</w:t>
      </w:r>
      <w:r>
        <w:rPr>
          <w:rFonts w:ascii="Times New Roman" w:hAnsi="Times New Roman" w:eastAsia="宋体"/>
          <w:b w:val="0"/>
          <w:sz w:val="24"/>
        </w:rPr>
        <w:t xml:space="preserve">。在 bcc 中 Li⁺ 沿"共面双四面体"（T–T）路径迁移，势垒仅约 </w:t>
      </w:r>
      <w:r>
        <w:rPr>
          <w:rFonts w:ascii="Times New Roman" w:hAnsi="Times New Roman" w:eastAsia="宋体"/>
          <w:b/>
          <w:sz w:val="24"/>
        </w:rPr>
        <w:t>0.15 eV</w:t>
      </w:r>
      <w:r>
        <w:rPr>
          <w:rFonts w:ascii="Times New Roman" w:hAnsi="Times New Roman" w:eastAsia="宋体"/>
          <w:b w:val="0"/>
          <w:sz w:val="24"/>
        </w:rPr>
        <w:t xml:space="preserve">；而 fcc/hcp 需经八面体（T–O–T）路径，势垒约 </w:t>
      </w:r>
      <w:r>
        <w:rPr>
          <w:rFonts w:ascii="Times New Roman" w:hAnsi="Times New Roman" w:eastAsia="宋体"/>
          <w:b/>
          <w:sz w:val="24"/>
        </w:rPr>
        <w:t>0.39–0.40 eV</w:t>
      </w:r>
      <w:r>
        <w:rPr>
          <w:rFonts w:ascii="Times New Roman" w:hAnsi="Times New Roman" w:eastAsia="宋体"/>
          <w:b w:val="0"/>
          <w:sz w:val="24"/>
        </w:rPr>
        <w:t>（P2，图 2、图 3），由此室温电导差约三个数量级。该判据可迁移到氧化物、卤化物（anti-perovskite、α-AgI）以及 Na⁺/Mg²⁺ 体系（P5）。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 24 及 7 志愿整体的关联）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直接支撑课题 24 的核心机制</w:t>
      </w:r>
      <w:r>
        <w:rPr>
          <w:rFonts w:ascii="Times New Roman" w:hAnsi="Times New Roman" w:eastAsia="宋体"/>
          <w:b w:val="0"/>
          <w:sz w:val="24"/>
        </w:rPr>
        <w:t>：本文是"α-Li₃PS₄ 因 bcc 类 S 骨架而超离子导电"这一论断的出处。作者明确指出 γ-Li₃PS₄（hcp）实验 Eₐ=0.49 eV、Li₄GeS₄（hcp）0.53 eV，与 hcp T–O–T 势垒 0.40 eV 接近；并指出</w:t>
      </w:r>
      <w:r>
        <w:rPr>
          <w:rFonts w:ascii="Times New Roman" w:hAnsi="Times New Roman" w:eastAsia="宋体"/>
          <w:b/>
          <w:sz w:val="24"/>
        </w:rPr>
        <w:t>β-Li₃PS₄（Pnma）在 ICSD 筛选中"能匹配到 bcc"</w:t>
      </w:r>
      <w:r>
        <w:rPr>
          <w:rFonts w:ascii="Times New Roman" w:hAnsi="Times New Roman" w:eastAsia="宋体"/>
          <w:b w:val="0"/>
          <w:sz w:val="24"/>
        </w:rPr>
        <w:t>（P3–P5，图 3、图 5）。（R0）后文 Kaup 2020 对 α-Li₃PS₄ 的 75% bcc + 25% hcp S 骨架分析，正是对这一原则的定量落实。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：志愿 50（卤化物 SSE 液相合成）、23（卤化物 SSE 界面层计算）都可用本文"bcc 阴离子骨架 → 低势垒"的判据去理解 Li₃OCl/Li₃OBr 类 anti-perovskite；志愿 47（MLIP 相稳定性）可从本文"构型搜索 + 描述符筛选"的方法学中获得启发；志愿 22（LLM Agent 热输运）与声子/热物性相关，本文的 AIMD 概率密度与迁移熵思想可作桥梁。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内容深度解读（按论文结构逐节，附页码锚点与关键数据）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引言（P1/1026）</w:t>
      </w:r>
      <w:r>
        <w:rPr>
          <w:rFonts w:ascii="Times New Roman" w:hAnsi="Times New Roman" w:eastAsia="宋体"/>
          <w:b w:val="0"/>
          <w:sz w:val="24"/>
        </w:rPr>
        <w:t>：固态电解质可解决有机电解液易燃与电化学窗口窄两大痛点。已有氧化物体系（LISICON、NASICON、perovskite、garnet、LiPON）室温电导 10⁻³～1 mS/cm、Eₐ 0.3–0.6 eV；硫化物更优：thio-LISICON Li₃.₂₅Ge₀.₂₅P₀.₇₅S₄（2.2 mS/cm，Eₐ 0.22 eV）、Li₇P₃S₁₁（17 mS/cm，Eₐ 0.18 eV）、Li₁₀GeP₂S₁₂（12 mS/cm，Eₐ 0.22–0.25 eV）。（R0）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结构匹配 + 裸晶格模型（P2/1027，图 1、图 2）</w:t>
      </w:r>
      <w:r>
        <w:rPr>
          <w:rFonts w:ascii="Times New Roman" w:hAnsi="Times New Roman" w:eastAsia="宋体"/>
          <w:b w:val="0"/>
          <w:sz w:val="24"/>
        </w:rPr>
        <w:t xml:space="preserve">：Li₁₀GeP₂S₁₂ 与 Li₇P₃S₁₁ 的 S 亚晶格都"极接近 bcc"；Li₂S 为 fcc，γ-Li₃PS₄（Pmn2₁）与 Li₄GeS₄ 为 hcp。稀释极限计算（每 S 体积 40 Å³）表明：bcc 中 Li 最稳定于四面体位，T–T 路径势垒 </w:t>
      </w:r>
      <w:r>
        <w:rPr>
          <w:rFonts w:ascii="Times New Roman" w:hAnsi="Times New Roman" w:eastAsia="宋体"/>
          <w:b/>
          <w:sz w:val="24"/>
        </w:rPr>
        <w:t>0.15 eV</w:t>
      </w:r>
      <w:r>
        <w:rPr>
          <w:rFonts w:ascii="Times New Roman" w:hAnsi="Times New Roman" w:eastAsia="宋体"/>
          <w:b w:val="0"/>
          <w:sz w:val="24"/>
        </w:rPr>
        <w:t xml:space="preserve">；fcc 的 T–O–T 为 </w:t>
      </w:r>
      <w:r>
        <w:rPr>
          <w:rFonts w:ascii="Times New Roman" w:hAnsi="Times New Roman" w:eastAsia="宋体"/>
          <w:b/>
          <w:sz w:val="24"/>
        </w:rPr>
        <w:t>0.39 eV</w:t>
      </w:r>
      <w:r>
        <w:rPr>
          <w:rFonts w:ascii="Times New Roman" w:hAnsi="Times New Roman" w:eastAsia="宋体"/>
          <w:b w:val="0"/>
          <w:sz w:val="24"/>
        </w:rPr>
        <w:t xml:space="preserve">；hcp 面内 T–O–T 为 </w:t>
      </w:r>
      <w:r>
        <w:rPr>
          <w:rFonts w:ascii="Times New Roman" w:hAnsi="Times New Roman" w:eastAsia="宋体"/>
          <w:b/>
          <w:sz w:val="24"/>
        </w:rPr>
        <w:t>0.40 eV</w:t>
      </w:r>
      <w:r>
        <w:rPr>
          <w:rFonts w:ascii="Times New Roman" w:hAnsi="Times New Roman" w:eastAsia="宋体"/>
          <w:b w:val="0"/>
          <w:sz w:val="24"/>
        </w:rPr>
        <w:t>、c 轴 T–T 为 0.20 eV（但不连通）、O–O 为 0.19 eV（八面体位不稳定），故 hcp 长程传导受 T–O–T 限速。（R0）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体积依赖（P3/1028，图 3）</w:t>
      </w:r>
      <w:r>
        <w:rPr>
          <w:rFonts w:ascii="Times New Roman" w:hAnsi="Times New Roman" w:eastAsia="宋体"/>
          <w:b w:val="0"/>
          <w:sz w:val="24"/>
        </w:rPr>
        <w:t>：在 ICSD 实测范围 28.5–70.8 Å³/S 内，bcc 迁移势垒随体积单调下降且在</w:t>
      </w:r>
      <w:r>
        <w:rPr>
          <w:rFonts w:ascii="Times New Roman" w:hAnsi="Times New Roman" w:eastAsia="宋体"/>
          <w:b/>
          <w:sz w:val="24"/>
        </w:rPr>
        <w:t>所有体积下最优</w:t>
      </w:r>
      <w:r>
        <w:rPr>
          <w:rFonts w:ascii="Times New Roman" w:hAnsi="Times New Roman" w:eastAsia="宋体"/>
          <w:b w:val="0"/>
          <w:sz w:val="24"/>
        </w:rPr>
        <w:t>；fcc/hcp 因八面体位能量随体积"先稳定→再失稳"，势垒呈非单调三段行为（regime I/II/III）。实验 Eₐ 与计算对照：bcc 0.15 eV 略低于 Li₁₀GeP₂S₁₂（0.22–0.25 eV）等，与 Li₇P₃S₁₁（0.18 eV）接近；hcp 0.40 eV 与 Li₄GeS₄、γ-Li₃PS₄ 接近。（R0）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AIMD 概率密度验证（P4/1029，图 4）</w:t>
      </w:r>
      <w:r>
        <w:rPr>
          <w:rFonts w:ascii="Times New Roman" w:hAnsi="Times New Roman" w:eastAsia="宋体"/>
          <w:b w:val="0"/>
          <w:sz w:val="24"/>
        </w:rPr>
        <w:t>：900 K 下 Li 概率密度显示 Li₁₀GeP₂S₁₂ 沿 c 轴一维通道、Li₇P₃S₁₁ 三维网络、Li₂S 局域于四面体位、Li₄GeS₄ 局域于共面 T–T 对，与势垒分析一致。（R0）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设计原则与筛选（P5/1030，图 5）</w:t>
      </w:r>
      <w:r>
        <w:rPr>
          <w:rFonts w:ascii="Times New Roman" w:hAnsi="Times New Roman" w:eastAsia="宋体"/>
          <w:b w:val="0"/>
          <w:sz w:val="24"/>
        </w:rPr>
        <w:t>：总原则——"扩散网络内所有位点能量近等价 + 大通道相连"。bcc 框架含全四面体、晶格学与能量学等价的渗流网络。ICSD 中仅 25 个 Li–S 化合物可匹配 bcc，且多数畸变明显；β-Li₃PS₄ 与 Li₃BS₃ 从中浮现。例外：argyrodite Li₇PS₆/Li₆PS₅X 与立方 Na₃PS₄ 虽非 bcc，但同样靠"共面四面体网络"实现快传导。（R0）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阳离子与浓度效应（P5/1030）</w:t>
      </w:r>
      <w:r>
        <w:rPr>
          <w:rFonts w:ascii="Times New Roman" w:hAnsi="Times New Roman" w:eastAsia="宋体"/>
          <w:b w:val="0"/>
          <w:sz w:val="24"/>
        </w:rPr>
        <w:t>：多种非 Li 阳离子占据同类位点会局部改变能景。掺杂宜选周期表相邻、化学相似的阳离子：Si 代 Ge 使 Li₁₀GeP₂S₁₂ Eₐ 降 0.01 eV（实验降 0.05 eV），Sn 代 Ge 增 0.03 eV；garnet 中 Li 浓度 x=3→7 时，Li 被逼入高能八面体位，反而抹平位能差、降低 Eₐ。（R0）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判据的可迁移性（P5/1030）</w:t>
      </w:r>
      <w:r>
        <w:rPr>
          <w:rFonts w:ascii="Times New Roman" w:hAnsi="Times New Roman" w:eastAsia="宋体"/>
          <w:b w:val="0"/>
          <w:sz w:val="24"/>
        </w:rPr>
        <w:t>：该原则可推广到其他"可动阳离子 + 不动阴离子骨架"组合：anti-perovskite Li₃OCl/Li₃OBr（O²⁻/卤素阴离子呈 bcc 堆积，Li 间隙活化后经能量等价的四面体位，Eₐ 可低至 0.17 eV）；Ag⁺/Cu⁺ 快导体（如 α-AgI）也是 bcc 阴离子骨架、电导高于 fcc/hcp 相。计算进一步显示 O²⁻/Br⁻ 骨架及 Na⁺/Mg²⁺ 迁移中 bcc 同样优于其他密堆积。但作者提醒：氧化物的 bcc 氧骨架虽也预测低势垒，实测 Eₐ 偏高，主因是氧 bcc 排列罕见、体积小且极化率低，静电作用更强。（R0）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方法（P7/1031，Methods）</w:t>
      </w:r>
      <w:r>
        <w:rPr>
          <w:rFonts w:ascii="Times New Roman" w:hAnsi="Times New Roman" w:eastAsia="宋体"/>
          <w:b w:val="0"/>
          <w:sz w:val="24"/>
        </w:rPr>
        <w:t>：DFT-PBE/PAW（VASP）；CI-NEB 在 3×3×3 超胞、2×2×2 k 点、500 eV 截断能；AIMD 900 K、2 fs、200 ps、Γ 点、280 eV。（R0）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稀释极限近似</w:t>
      </w:r>
      <w:r>
        <w:rPr>
          <w:rFonts w:ascii="Times New Roman" w:hAnsi="Times New Roman" w:eastAsia="宋体"/>
          <w:b w:val="0"/>
          <w:sz w:val="24"/>
        </w:rPr>
        <w:t>：单 Li⁺ 于固定 S²⁻ 晶格，忽略了 Li–Li 与 Li–阳离子静电作用，故裸晶格势垒系统性低于真实材料（原文也承认）。（R2）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缺陷形成能缺失</w:t>
      </w:r>
      <w:r>
        <w:rPr>
          <w:rFonts w:ascii="Times New Roman" w:hAnsi="Times New Roman" w:eastAsia="宋体"/>
          <w:b w:val="0"/>
          <w:sz w:val="24"/>
        </w:rPr>
        <w:t>：对无四面体空位的 Li₂S 等，模型只算迁移势垒、不含空位形成能，故低估 Eₐ（图 3 注释）。（R0）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结构匹配容差敏感</w:t>
      </w:r>
      <w:r>
        <w:rPr>
          <w:rFonts w:ascii="Times New Roman" w:hAnsi="Times New Roman" w:eastAsia="宋体"/>
          <w:b w:val="0"/>
          <w:sz w:val="24"/>
        </w:rPr>
        <w:t>：匹配算法容差放宽时 γ-Li₃PS₄、Li₄GeS₄ 可"强行"匹配到 bcc（Methods），需警惕描述符的歧义。（R0）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概率密度解释的温度依赖</w:t>
      </w:r>
      <w:r>
        <w:rPr>
          <w:rFonts w:ascii="Times New Roman" w:hAnsi="Times New Roman" w:eastAsia="宋体"/>
          <w:b w:val="0"/>
          <w:sz w:val="24"/>
        </w:rPr>
        <w:t>：ΔG≈kT·ln(P₁/P₂) 仅在高温统计意义下成立，迁移熵贡献未直接分离。（R2）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一句话判据</w:t>
      </w:r>
      <w:r>
        <w:rPr>
          <w:rFonts w:ascii="Times New Roman" w:hAnsi="Times New Roman" w:eastAsia="宋体"/>
          <w:b w:val="0"/>
          <w:sz w:val="24"/>
        </w:rPr>
        <w:t>可写进毕设综述：</w:t>
      </w:r>
      <w:r>
        <w:rPr>
          <w:rFonts w:ascii="Times New Roman" w:hAnsi="Times New Roman" w:eastAsia="宋体"/>
          <w:b/>
          <w:sz w:val="24"/>
        </w:rPr>
        <w:t>"bcc 阴离子骨架允许 Li 在能量等价的共面四面体网络间直接 T–T 跳跃，是最优超离子导体设计原则"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方法链条可直接复用：pymatgen 结构匹配 → NEB 迁移势垒 → AIMD 概率密度/BVEL 验证，是课题 24 "空位跳跃 vs 间隙协同迁移"计算的现成范式。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学会用"体积/位点能量/势垒"三变量区分 T–T 与 T–O–T 机制，可用于判断 α/β/γ-Li₃PS₄ 各自传导机制差异。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术语中英对照：阴离子亚晶格 anion sublattice；共面四面体 face-sharing tetrahedra；渗流网络 percolating network；迁移势垒 migration barrier。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本文把"离子电导"归约为"阴离子骨架拓扑"，但后续研究（Kaup 2020、Kim et al. 2018）显示：</w:t>
      </w:r>
      <w:r>
        <w:rPr>
          <w:rFonts w:ascii="Times New Roman" w:hAnsi="Times New Roman" w:eastAsia="宋体"/>
          <w:b/>
          <w:sz w:val="24"/>
        </w:rPr>
        <w:t>阳离子亚晶格无序、迁移熵（指前因子）、多面体阴离子旋转</w:t>
      </w:r>
      <w:r>
        <w:rPr>
          <w:rFonts w:ascii="Times New Roman" w:hAnsi="Times New Roman" w:eastAsia="宋体"/>
          <w:b w:val="0"/>
          <w:sz w:val="24"/>
        </w:rPr>
        <w:t>同样关键。一个值得在毕设中追问的问题是：α-Li₃PS₄ 的 bcc 骨架虽给出低迁移势垒，但其"超高电导"预测（约 80 mS/cm）能否在室温稳定相中兑现，还取决于能否同时稳定无序 Li 亚晶格——这正是 Kimura 2023 用"玻璃快速加热"实验实现的闭环。此外，本文"阳离子掺杂应选化学相似者"的经验规则，为 Li₃PS₄ 的 Si/Ge/Sn 掺杂与 β′ 相设计提供了可操作的定性指导。（R2）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