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文献精读报告：Mechanically Strong and Tough Ionic Liquid Gel Electrolyte for Four-Electron Zinc−Iodine Batteries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：Zuyang Hu, Zixin Han, Haoxin Liu, Xiaolong Jiang, Kai Bai, Shengyang Huang, Zican Yang, Minghui Ye, Yongchao Tang, Yufei Zhang, Xiaoqing Liu, Zhipeng Wen, Ho Seok Park, Cheng Chao Li｜《Journal of the American Chemical Society》(JACS)｜2025, 147, 46632−46641｜DOI: 10.1021/jacs.5c18431｜精读日期 2026-08-21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证据分级：R0=原文事实（附页码锚点）｜R1=外部背景知识｜R2=推断/评价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一句话定位</w:t>
      </w:r>
      <w:r>
        <w:rPr>
          <w:rFonts w:ascii="Times New Roman" w:hAnsi="Times New Roman" w:eastAsia="宋体"/>
          <w:b w:val="0"/>
          <w:sz w:val="24"/>
        </w:rPr>
        <w:t>：本文针对固态锌离子电池"界面应力累积 + 枝晶穿刺"两大失效根源，提出一种</w:t>
      </w:r>
      <w:r>
        <w:rPr>
          <w:rFonts w:ascii="Times New Roman" w:hAnsi="Times New Roman" w:eastAsia="宋体"/>
          <w:b/>
          <w:sz w:val="24"/>
        </w:rPr>
        <w:t>兼具高强度与高韧性的"双高"超分子离子液体凝胶电解质（ILg）</w:t>
      </w:r>
      <w:r>
        <w:rPr>
          <w:rFonts w:ascii="Times New Roman" w:hAnsi="Times New Roman" w:eastAsia="宋体"/>
          <w:b w:val="0"/>
          <w:sz w:val="24"/>
        </w:rPr>
        <w:t>，并首次在凝胶环境中稳定实现碘正极的</w:t>
      </w:r>
      <w:r>
        <w:rPr>
          <w:rFonts w:ascii="Times New Roman" w:hAnsi="Times New Roman" w:eastAsia="宋体"/>
          <w:b/>
          <w:sz w:val="24"/>
        </w:rPr>
        <w:t>四电子反应</w:t>
      </w:r>
      <w:r>
        <w:rPr>
          <w:rFonts w:ascii="Times New Roman" w:hAnsi="Times New Roman" w:eastAsia="宋体"/>
          <w:b w:val="0"/>
          <w:sz w:val="24"/>
        </w:rPr>
        <w:t>（R0, p.1 摘要）。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核心内容</w:t>
      </w:r>
      <w:r>
        <w:rPr>
          <w:rFonts w:ascii="Times New Roman" w:hAnsi="Times New Roman" w:eastAsia="宋体"/>
          <w:b w:val="0"/>
          <w:sz w:val="24"/>
        </w:rPr>
        <w:t>：以聚乙烯醇（PVA）为骨架，通过与含锌卤素离子液体（Bmim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ZnBr₃]/Bmim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ZnCl₃]）的</w:t>
      </w:r>
      <w:r>
        <w:rPr>
          <w:rFonts w:ascii="Times New Roman" w:hAnsi="Times New Roman" w:eastAsia="宋体"/>
          <w:b/>
          <w:sz w:val="24"/>
        </w:rPr>
        <w:t>溶剂交换</w:t>
      </w:r>
      <w:r>
        <w:rPr>
          <w:rFonts w:ascii="Times New Roman" w:hAnsi="Times New Roman" w:eastAsia="宋体"/>
          <w:b w:val="0"/>
          <w:sz w:val="24"/>
        </w:rPr>
        <w:t xml:space="preserve">过程，经非共价作用（Br−H 键与氢键）构建超分子物理交联网络。IL 的多阴离子基团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ZnBr₃]⁻ 通过改变电子分布"激活"PVA 上 −OH 位点活性，增强 Zn²⁺ 与位点的结合，从而同时获得高迁移数与高离子电导（R0, p.1）。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主要结论</w:t>
      </w:r>
      <w:r>
        <w:rPr>
          <w:rFonts w:ascii="Times New Roman" w:hAnsi="Times New Roman" w:eastAsia="宋体"/>
          <w:b w:val="0"/>
          <w:sz w:val="24"/>
        </w:rPr>
        <w:t>（均为 R0, p.1 摘要 / p.8 结论）：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机械性能：拉伸强度 2.22 MPa、形变 &gt;1200%、韧性 1900.74 MJ/m³；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电化学：Zn²⁺ 迁移数 0.61，离子电导率 0.739 mS cm⁻¹，电化学窗口 2.82 V；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负极：独特的应力耗散机制使 Zn 对称电池稳定循环 &gt;2000 h（0.2 mA cm⁻² 下 2400 h）；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 xml:space="preserve">正极：低水含量 + 富 Br⁻ 化学环境经卤间亲核作用生成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IBr₂]⁻ 多卤化物，稳定碘四电子反应（0.2 A g⁻¹ 下 4000 次循环，全电池 4500 次）。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本文与课题 39（PVA/PAAm/PEO 凝胶电解质用于水系锌碘电池）</w:t>
      </w:r>
      <w:r>
        <w:rPr>
          <w:rFonts w:ascii="Times New Roman" w:hAnsi="Times New Roman" w:eastAsia="宋体"/>
          <w:b/>
          <w:sz w:val="24"/>
        </w:rPr>
        <w:t>高度直接相关</w:t>
      </w:r>
      <w:r>
        <w:rPr>
          <w:rFonts w:ascii="Times New Roman" w:hAnsi="Times New Roman" w:eastAsia="宋体"/>
          <w:b w:val="0"/>
          <w:sz w:val="24"/>
        </w:rPr>
        <w:t>，是 John Wang 课题核心机制的最前沿 JACS 版本：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凝胶抑制析氢</w:t>
      </w:r>
      <w:r>
        <w:rPr>
          <w:rFonts w:ascii="Times New Roman" w:hAnsi="Times New Roman" w:eastAsia="宋体"/>
          <w:b w:val="0"/>
          <w:sz w:val="24"/>
        </w:rPr>
        <w:t>：ILg 通过把自由水/结合水从 32 wt% 降到 &lt;10 wt%（低水活度），从源头抑制 HER 与腐蚀（R0, p.3）——正是课题 39"凝胶化抑制析氢"目标的直接实现路径。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限制多碘化物穿梭</w:t>
      </w:r>
      <w:r>
        <w:rPr>
          <w:rFonts w:ascii="Times New Roman" w:hAnsi="Times New Roman" w:eastAsia="宋体"/>
          <w:b w:val="0"/>
          <w:sz w:val="24"/>
        </w:rPr>
        <w:t xml:space="preserve">：本文走的是"化学稳定"路线而非"物理拦截"——用 Br⁻ 亲核稳定 I⁺ 生成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IBr₂]⁻（吉布斯自由能比 I⁺ 低 11.89 eV），把易被水攻击的 I⁺ 转化为稳定多卤化物（R0, p.7）。这为课题中"抑制穿梭"提供了一条超越传统吸附/限域的新思路。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调控锌沉积与界面动力学</w:t>
      </w:r>
      <w:r>
        <w:rPr>
          <w:rFonts w:ascii="Times New Roman" w:hAnsi="Times New Roman" w:eastAsia="宋体"/>
          <w:b w:val="0"/>
          <w:sz w:val="24"/>
        </w:rPr>
        <w:t>：Zn²⁺ 沿 PVA 链段迁移、多阴离子激活 −OH 位点提升迁移数、以及"结晶微区"应力耗散抑制枝晶（R0, p.5−6），三者共同构成"界面动力学调控"的分子级解释。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7 志愿整体关联</w:t>
      </w:r>
      <w:r>
        <w:rPr>
          <w:rFonts w:ascii="Times New Roman" w:hAnsi="Times New Roman" w:eastAsia="宋体"/>
          <w:b w:val="0"/>
          <w:sz w:val="24"/>
        </w:rPr>
        <w:t>：与志愿 23/24（Li₃PS₄、卤化物 SSE 的离子传导计算，Deng 组）共享"离子输运机制 + DFT/MD 计算"方法论；与志愿 47（MLIP 相稳定性）共享 DFT/MD 模拟手段；本文的 MD/DFT 是课题 39 中"用计算解释实验"的现成模板。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内容深度解读（按论文结构）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1. 引言（p.1−2）</w:t>
      </w:r>
      <w:r>
        <w:rPr>
          <w:rFonts w:ascii="Times New Roman" w:hAnsi="Times New Roman" w:eastAsia="宋体"/>
          <w:b w:val="0"/>
          <w:sz w:val="24"/>
        </w:rPr>
        <w:t>：先立"矛盾"——化学凝胶强度高但韧性差、且交联剂/引发剂限制链段运动、抑制盐解离、降低电导；物理凝胶可逆键利于耗能但强度/热稳定性差。故"双高"（高强度+高韧性）与"快而选择性的离子输运"难以兼得（R0, p.2）。这为后文"超分子 ILg 同时解决二者"埋伏笔。离子液体（IL）因室温液态、卤素离子导电性好被选为候选（R0, p.2）。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2. 合成与结构（p.3）</w:t>
      </w:r>
      <w:r>
        <w:rPr>
          <w:rFonts w:ascii="Times New Roman" w:hAnsi="Times New Roman" w:eastAsia="宋体"/>
          <w:b w:val="0"/>
          <w:sz w:val="24"/>
        </w:rPr>
        <w:t>：PVA 富 −OH，依 Hofmeister 序可与 ZnBr₂ 高浓度盐溶液互溶无盐析；加热蒸发大部分水成水凝胶，再在 IL 中浸泡</w:t>
      </w:r>
      <w:r>
        <w:rPr>
          <w:rFonts w:ascii="Times New Roman" w:hAnsi="Times New Roman" w:eastAsia="宋体"/>
          <w:b/>
          <w:sz w:val="24"/>
        </w:rPr>
        <w:t>溶剂交换</w:t>
      </w:r>
      <w:r>
        <w:rPr>
          <w:rFonts w:ascii="Times New Roman" w:hAnsi="Times New Roman" w:eastAsia="宋体"/>
          <w:b w:val="0"/>
          <w:sz w:val="24"/>
        </w:rPr>
        <w:t>得 ILg。IL-Br（由 Bmim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ZnBr₃]、ZnBr₂、PVA）与 IL-Cl（Bmim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 xml:space="preserve">ZnCl₃] 体系）对照。¹H NMR 中咪唑 H1（9.1217→9.1068 ppm）与 −OH H2（4.4713→4.4589）位移证明 Bmim⁺ 与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ZnBr₃]⁻ 分别与 PVA 氢键/静电作用；FT-IR 中 C−H 峰蓝移佐证；TGA 显示水含量 32%→&lt;10%（R0, p.3）。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 物理与电化学稳定性（p.4）</w:t>
      </w:r>
      <w:r>
        <w:rPr>
          <w:rFonts w:ascii="Times New Roman" w:hAnsi="Times New Roman" w:eastAsia="宋体"/>
          <w:b w:val="0"/>
          <w:sz w:val="24"/>
        </w:rPr>
        <w:t>：拉伸测试 IL-Br 先屈服（0.90 MPa）后断裂于 &gt;1200%；IL-Cl 于 1300%（1.26 MPa）。500% 形变循环可恢复，IL-Br 曲线包围面积更大→韧性更高（1900.74 MJ/m³）。LSV：IL-Br 窗口 2.82 V、IL-Cl 2.76 V。原位 EIS：IL-Br 阻抗变化更小，动力学更优（R0, p.4）。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4. Zn²⁺ 输运机制（p.5）</w:t>
      </w:r>
      <w:r>
        <w:rPr>
          <w:rFonts w:ascii="Times New Roman" w:hAnsi="Times New Roman" w:eastAsia="宋体"/>
          <w:b w:val="0"/>
          <w:sz w:val="24"/>
        </w:rPr>
        <w:t>：IL-Br 中 Zn²⁺ 以"3 Br⁻ + 2 H₂O"溶剂化结构结合于 PVA 链段；IL-Cl 中为"4 Cl⁻ + 1 H₂O"。因 Zn²⁺−Cl⁻ 结合能大于 Zn²⁺−H₂O，IL-Cl 更不利于链上迁移。氢键数 IL-Cl &gt; IL-Br（Cl 强电负性使结构更"刚"）。MSD：IL-Br 中 Zn²⁺ 迁移率 2.48×10⁻⁵ cm² s⁻¹，是 IL-Cl（2.65×10⁻⁶）的约 10 倍。DFT 显示 IL 使邻近 −OH 位点电负性增强（"激活位点"），降低 Zn²⁺ 迁移能垒（R0, p.5）。实测 IL-Br 电导 0.739 mS cm⁻¹，IL-Cl 仅为 1/8。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5. 电化学性能与应力测试（p.6−7）</w:t>
      </w:r>
      <w:r>
        <w:rPr>
          <w:rFonts w:ascii="Times New Roman" w:hAnsi="Times New Roman" w:eastAsia="宋体"/>
          <w:b w:val="0"/>
          <w:sz w:val="24"/>
        </w:rPr>
        <w:t>：Zn|IL-Br|Zn 对称电池 0.2 mA cm⁻² 下 2400 h、0.5 mA cm⁻² 下 &gt;2500 h；IL-Cl 900 h 内短路。Zn−Cu 首圈 CE 84.53%、60 圈后平均 99.29%、成核过电位 66.8 mV、&gt;4400 圈。压力测试揭示界面应力对凝胶性能的关键影响（加压 0.8 MPa 下稳定 &gt;700 h），并证明 IL-Br 表面生成"结晶微区"抵抗外力、阻止应力传播（应力耗散机制）。穿刺/有限元模拟 + SEM 证实 IL-Br 下 Zn 呈致密块状沉积，而 IL-Cl 因 ZnCl₂ 水解盐析生成大量晶体颗粒破坏凝胶（R0, p.6−7）。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6. 四电子 Zn−I₂ 全电池（p.7−8）</w:t>
      </w:r>
      <w:r>
        <w:rPr>
          <w:rFonts w:ascii="Times New Roman" w:hAnsi="Times New Roman" w:eastAsia="宋体"/>
          <w:b w:val="0"/>
          <w:sz w:val="24"/>
        </w:rPr>
        <w:t>：CV 出现 1.2 V（I⁻→I⁰）与 1.5 V（I⁰→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IBr₂]⁻）两峰。0.2 A g⁻¹ 循环 4500 次、0.4 A g⁻¹ 3000 次，平均 CE 99.70%；静置 48 h 仍保持 84.5% 容量。ex situ 拉曼显示 Br⁻ 峰 170 cm⁻¹ 充电至 1.5 V 移至 ~185 cm⁻¹（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IBr₂]⁻ 形成），放电消失，证实四电子可逆。柔性电池折叠/弯曲/卷曲/穿刺电压稳定，可驱动腕带灯（2.6 V）（R0, p.7−8）。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"双高"矛盾本身</w:t>
      </w:r>
      <w:r>
        <w:rPr>
          <w:rFonts w:ascii="Times New Roman" w:hAnsi="Times New Roman" w:eastAsia="宋体"/>
          <w:b w:val="0"/>
          <w:sz w:val="24"/>
        </w:rPr>
        <w:t>（R2 评价）：高强度要求刚性不可逆网络，高韧性要求可逆非共价键，二者天然冲突；本文靠超分子 IL 平衡，但 IL-Br/IL-Cl 性能差异（ZnCl₂ 水解盐析）说明体系对盐阴离子种类极敏感，普适性有限（R0, p.7）。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界面应力的量化与控制</w:t>
      </w:r>
      <w:r>
        <w:rPr>
          <w:rFonts w:ascii="Times New Roman" w:hAnsi="Times New Roman" w:eastAsia="宋体"/>
          <w:b w:val="0"/>
          <w:sz w:val="24"/>
        </w:rPr>
        <w:t>（R0, p.6）：凝胶在循环中受 Zn 沉积/剥离的体积变化挤压，需加压夹具才稳定，离实际无压软包仍有距离。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四电子反应稳定性的苛刻条件</w:t>
      </w:r>
      <w:r>
        <w:rPr>
          <w:rFonts w:ascii="Times New Roman" w:hAnsi="Times New Roman" w:eastAsia="宋体"/>
          <w:b w:val="0"/>
          <w:sz w:val="24"/>
        </w:rPr>
        <w:t>（R0, p.7）：需同时满足低水活度与富 Br⁻ 亲核环境，二者均由 IL 提供，牺牲了体系含水量与成本。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低温/全气候适应性未涉及</w:t>
      </w:r>
      <w:r>
        <w:rPr>
          <w:rFonts w:ascii="Times New Roman" w:hAnsi="Times New Roman" w:eastAsia="宋体"/>
          <w:b w:val="0"/>
          <w:sz w:val="24"/>
        </w:rPr>
        <w:t>（R2）：本文未测低温，与 Yu 2026 的 −30℃ 工作形成互补盲区。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可借鉴点（对毕设/学习直接有用）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溶剂交换法制备超分子凝胶</w:t>
      </w:r>
      <w:r>
        <w:rPr>
          <w:rFonts w:ascii="Times New Roman" w:hAnsi="Times New Roman" w:eastAsia="宋体"/>
          <w:b w:val="0"/>
          <w:sz w:val="24"/>
        </w:rPr>
        <w:t>（R0, p.3）：PVA 溶液→蒸发→IL 浸泡，工艺简单、可回收，适合毕设快速复现。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"激活迁移位点"的设计逻辑</w:t>
      </w:r>
      <w:r>
        <w:rPr>
          <w:rFonts w:ascii="Times New Roman" w:hAnsi="Times New Roman" w:eastAsia="宋体"/>
          <w:b w:val="0"/>
          <w:sz w:val="24"/>
        </w:rPr>
        <w:t>（R0, p.5）：多阴离子改变聚合物 −OH 电子分布以增强 Zn²⁺ 结合与迁移——这是理解"为什么凝胶能高迁移数"的核心。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DFT/MD 输运机制分析模板</w:t>
      </w:r>
      <w:r>
        <w:rPr>
          <w:rFonts w:ascii="Times New Roman" w:hAnsi="Times New Roman" w:eastAsia="宋体"/>
          <w:b w:val="0"/>
          <w:sz w:val="24"/>
        </w:rPr>
        <w:t>（R0, p.5）：RDF/配位数、MSD、Arrhenius 迁移能垒、ESP 位点活性，可直接套用于 PVA/PAAm/PEO 体系。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[</w:t>
      </w:r>
      <w:r>
        <w:rPr>
          <w:rFonts w:ascii="Times New Roman" w:hAnsi="Times New Roman" w:eastAsia="宋体"/>
          <w:b/>
          <w:sz w:val="24"/>
        </w:rPr>
        <w:t>IBr₂]⁻ 稳定 I⁺ 的化学策略</w:t>
      </w:r>
      <w:r>
        <w:rPr>
          <w:rFonts w:ascii="Times New Roman" w:hAnsi="Times New Roman" w:eastAsia="宋体"/>
          <w:b w:val="0"/>
          <w:sz w:val="24"/>
        </w:rPr>
        <w:t>（R0, p.7）：用卤素亲核取代物理限域，为课题 39"抑制穿梭"提供新角度。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对照组设计（IL-Br vs IL-Cl）</w:t>
      </w:r>
      <w:r>
        <w:rPr>
          <w:rFonts w:ascii="Times New Roman" w:hAnsi="Times New Roman" w:eastAsia="宋体"/>
          <w:b w:val="0"/>
          <w:sz w:val="24"/>
        </w:rPr>
        <w:t>（R0 全文）：以阴离子差异解释性能差异（水解/盐析），是严谨的因果论证范式。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与课题 39 体系衔接</w:t>
      </w:r>
      <w:r>
        <w:rPr>
          <w:rFonts w:ascii="Times New Roman" w:hAnsi="Times New Roman" w:eastAsia="宋体"/>
          <w:b w:val="0"/>
          <w:sz w:val="24"/>
        </w:rPr>
        <w:t xml:space="preserve">（R2）：John Wang 课题的 PVA/PAAm/PEO 若引入咪唑类 IL 或高浓度 ZnBr₂，能否复刻"低水活度 + 应力耗散 +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IBr₂]⁻ 稳定"三重效果？值得在开题中论证。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"低水活度"与"凝胶柔性"的权衡</w:t>
      </w:r>
      <w:r>
        <w:rPr>
          <w:rFonts w:ascii="Times New Roman" w:hAnsi="Times New Roman" w:eastAsia="宋体"/>
          <w:b w:val="0"/>
          <w:sz w:val="24"/>
        </w:rPr>
        <w:t>（R2）：水含量 &lt;10% 抑制了 HER，但可能牺牲离子电导（本文 0.739 mS cm⁻¹ 明显低于 Yu 2026 的 30.2 mS cm⁻¹），说明"抑制析氢"与"快离子输运"存在此消彼长，需按应用场景取舍。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安全维度补强</w:t>
      </w:r>
      <w:r>
        <w:rPr>
          <w:rFonts w:ascii="Times New Roman" w:hAnsi="Times New Roman" w:eastAsia="宋体"/>
          <w:b w:val="0"/>
          <w:sz w:val="24"/>
        </w:rPr>
        <w:t>（R2）：本文含水凝胶体系未讨论热稳定性/阻燃，可结合 Wu 2024 防火电解质综述的磷/氮阻燃策略，评估 Zn−I₂ 凝胶的全气候与安全边界。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分级，结论可回溯至 PDF 页码/章节）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