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文献精读报告：Cryoprotective Hydrogel Electrolyte With Dynamic Hydrogen Bonds for All-Climate Zinc–Iodine Batteries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：Xincang Yu, Xin Tan, Yongbiao Mu, Ling Wang, Ziying Lin, Yifan Peng, Xiyan Wei, Na Li</w:t>
      </w:r>
      <w:r>
        <w:rPr>
          <w:rFonts w:ascii="Times New Roman" w:hAnsi="Times New Roman" w:eastAsia="宋体"/>
          <w:b w:val="0"/>
          <w:i/>
          <w:sz w:val="24"/>
        </w:rPr>
        <w:t>, Jing Li</w:t>
      </w:r>
      <w:r>
        <w:rPr>
          <w:rFonts w:ascii="Times New Roman" w:hAnsi="Times New Roman" w:eastAsia="宋体"/>
          <w:b w:val="0"/>
          <w:sz w:val="24"/>
        </w:rPr>
        <w:t>, Lin Zeng</w:t>
      </w:r>
      <w:r>
        <w:rPr>
          <w:rFonts w:ascii="Times New Roman" w:hAnsi="Times New Roman" w:eastAsia="宋体"/>
          <w:b w:val="0"/>
          <w:i/>
          <w:sz w:val="24"/>
        </w:rPr>
        <w:t>, Jianxiong Xu</w:t>
      </w:r>
      <w:r>
        <w:rPr>
          <w:rFonts w:ascii="Times New Roman" w:hAnsi="Times New Roman" w:eastAsia="宋体"/>
          <w:b w:val="0"/>
          <w:sz w:val="24"/>
        </w:rPr>
        <w:t>｜《Advanced Functional Materials》(AFM)｜2026, 36, e74610｜DOI: 10.1002/adfm.74610｜精读日期 2026-08-21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证据分级：R0=原文事实（附页码锚点）｜R1=外部背景知识｜R2=推断/评价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一句话定位</w:t>
      </w:r>
      <w:r>
        <w:rPr>
          <w:rFonts w:ascii="Times New Roman" w:hAnsi="Times New Roman" w:eastAsia="宋体"/>
          <w:b w:val="0"/>
          <w:sz w:val="24"/>
        </w:rPr>
        <w:t>：本文提出一种</w:t>
      </w:r>
      <w:r>
        <w:rPr>
          <w:rFonts w:ascii="Times New Roman" w:hAnsi="Times New Roman" w:eastAsia="宋体"/>
          <w:b/>
          <w:sz w:val="24"/>
        </w:rPr>
        <w:t>动态氢键交联的双网络水凝胶电解质 PHEAA-CMC-Zn(CF₃SO₃)₂（简称 HCZ）</w:t>
      </w:r>
      <w:r>
        <w:rPr>
          <w:rFonts w:ascii="Times New Roman" w:hAnsi="Times New Roman" w:eastAsia="宋体"/>
          <w:b w:val="0"/>
          <w:sz w:val="24"/>
        </w:rPr>
        <w:t>，同时解决水系锌碘电池（AZIBs）的寄生反应失控与</w:t>
      </w:r>
      <w:r>
        <w:rPr>
          <w:rFonts w:ascii="Times New Roman" w:hAnsi="Times New Roman" w:eastAsia="宋体"/>
          <w:b/>
          <w:sz w:val="24"/>
        </w:rPr>
        <w:t>全气候（−30~50℃）温度适应性差</w:t>
      </w:r>
      <w:r>
        <w:rPr>
          <w:rFonts w:ascii="Times New Roman" w:hAnsi="Times New Roman" w:eastAsia="宋体"/>
          <w:b w:val="0"/>
          <w:sz w:val="24"/>
        </w:rPr>
        <w:t>两大痛点（R0, p.1 摘要）。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核心内容</w:t>
      </w:r>
      <w:r>
        <w:rPr>
          <w:rFonts w:ascii="Times New Roman" w:hAnsi="Times New Roman" w:eastAsia="宋体"/>
          <w:b w:val="0"/>
          <w:sz w:val="24"/>
        </w:rPr>
        <w:t>：以刚性羧甲基纤维素（CMC）为第一网络、柔性聚(N-羟乙基丙烯酰胺)（PHEAA）为第二网络，浸泡 Zn(CF₃SO₃)₂ 后形成富含动态分子内/分子间氢键的双网络凝胶。富亲水基团与水分子成氢键，既抑制电极界面的水致副反应，又通过降低自由水比例实现宽温耐受（R0, p.1）。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主要结论</w:t>
      </w:r>
      <w:r>
        <w:rPr>
          <w:rFonts w:ascii="Times New Roman" w:hAnsi="Times New Roman" w:eastAsia="宋体"/>
          <w:b w:val="0"/>
          <w:sz w:val="24"/>
        </w:rPr>
        <w:t>（均为 R0, p.1−2 摘要）：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力学/疲劳：韧性 6.45 MJ m⁻³、疲劳阈值 200.5 J m⁻²、离子电导率 30.2 mS cm⁻¹（−30℃ 仍 14.6 mS cm⁻¹）；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负极：Zn‖Zn 对称电池在 20℃ 与 −30℃ 均循环 &gt;3000 h（1 mA cm⁻²/1 mAh cm⁻²）；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全电池：−30℃ 下 2 A g⁻¹ 循环 20000 次、50℃ 下 5 A g⁻¹ 循环 30000 次（95% 容量保持）；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穿梭抑制：CMC 对 I₃⁻/I₅⁻ 静电吸附显著抑制多碘化物穿梭与自放电。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本文是课题 39（PVA/PAAm/PEO 凝胶电解质）在</w:t>
      </w:r>
      <w:r>
        <w:rPr>
          <w:rFonts w:ascii="Times New Roman" w:hAnsi="Times New Roman" w:eastAsia="宋体"/>
          <w:b/>
          <w:sz w:val="24"/>
        </w:rPr>
        <w:t>"水系锌碘电池凝胶化"方向最接近的姊妹文献</w:t>
      </w:r>
      <w:r>
        <w:rPr>
          <w:rFonts w:ascii="Times New Roman" w:hAnsi="Times New Roman" w:eastAsia="宋体"/>
          <w:b w:val="0"/>
          <w:sz w:val="24"/>
        </w:rPr>
        <w:t>，可借鉴点高度具体：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凝胶化抑制析氢</w:t>
      </w:r>
      <w:r>
        <w:rPr>
          <w:rFonts w:ascii="Times New Roman" w:hAnsi="Times New Roman" w:eastAsia="宋体"/>
          <w:b w:val="0"/>
          <w:sz w:val="24"/>
        </w:rPr>
        <w:t>：HCZ 通过 CMC 羧基/羟基 + PHEAA 酰胺基 + CF₃SO₃⁻ 阴离子与水形成氢键，降低自由水活度，HER 起始电位正移、副产物（ZnCO₃/ZnF₂）消失（R0, p.6, p.8）。这是课题 39"凝胶抑制析氢"机制的直接证据与实现手段。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限制多碘化物穿梭</w:t>
      </w:r>
      <w:r>
        <w:rPr>
          <w:rFonts w:ascii="Times New Roman" w:hAnsi="Times New Roman" w:eastAsia="宋体"/>
          <w:b w:val="0"/>
          <w:sz w:val="24"/>
        </w:rPr>
        <w:t>：HCZ 对 I₃⁻/I₅⁻ 的</w:t>
      </w:r>
      <w:r>
        <w:rPr>
          <w:rFonts w:ascii="Times New Roman" w:hAnsi="Times New Roman" w:eastAsia="宋体"/>
          <w:b/>
          <w:sz w:val="24"/>
        </w:rPr>
        <w:t>静电吸附</w:t>
      </w:r>
      <w:r>
        <w:rPr>
          <w:rFonts w:ascii="Times New Roman" w:hAnsi="Times New Roman" w:eastAsia="宋体"/>
          <w:b w:val="0"/>
          <w:sz w:val="24"/>
        </w:rPr>
        <w:t>（CMC 结合能更负）使 H 型电解池 24 h 后对侧仍近无色、原位拉曼在负极区检测不到多碘化物信号（R0, p.13−14）。与 Hu 2025 的"化学稳定（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IBr₂]⁻）"路线互补，二者合起来正是课题 39"限穿梭"的两条腿。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调控锌沉积</w:t>
      </w:r>
      <w:r>
        <w:rPr>
          <w:rFonts w:ascii="Times New Roman" w:hAnsi="Times New Roman" w:eastAsia="宋体"/>
          <w:b w:val="0"/>
          <w:sz w:val="24"/>
        </w:rPr>
        <w:t>：功能基团与 Zn²⁺ 配位、降低去溶剂化能垒（Ea 29.93 vs 53.20 kJ/mol），诱导 Zn 沿热力学最稳的 (002) 晶面沉积，I(002)/I(101) 从 15.9% 提至 32.5%（R0, p.9−11）——这是"界面动力学调控"的定量证据。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7 志愿整体</w:t>
      </w:r>
      <w:r>
        <w:rPr>
          <w:rFonts w:ascii="Times New Roman" w:hAnsi="Times New Roman" w:eastAsia="宋体"/>
          <w:b w:val="0"/>
          <w:sz w:val="24"/>
        </w:rPr>
        <w:t>：本文是"实验 + DFT/MD + DRT 阻抗解耦"的组合，方法上与志愿 23/24（Deng 组计算）、志愿 22（LLM Agent 热输运）可对话；其宽温设计思维可反哺课题 50/47 的 SSE 体系。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内容深度解读（按论文结构）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1. 引言（p.1−2）</w:t>
      </w:r>
      <w:r>
        <w:rPr>
          <w:rFonts w:ascii="Times New Roman" w:hAnsi="Times New Roman" w:eastAsia="宋体"/>
          <w:b w:val="0"/>
          <w:sz w:val="24"/>
        </w:rPr>
        <w:t>：先点 AZIBs 优势（碘地壳丰度 0.0075%、理论容量 211 mAh g⁻¹、放电电压 1.38 V），再列液态电解质四大顽疾（腐蚀、HER、枝晶、多碘化物穿梭）。指出单网络凝胶（PAA/PAM/PVA）力学脆、抗疲劳差；双网络可增强韧性/抗疲劳。并说明宽温策略的两难：有机溶剂降电导、高浓盐增黏度易结晶，故"理性定制聚合物网络、用亲水基团锁水降自由水"更优（R0, p.1−2）。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2. 合成与表征（p.3−6）</w:t>
      </w:r>
      <w:r>
        <w:rPr>
          <w:rFonts w:ascii="Times New Roman" w:hAnsi="Times New Roman" w:eastAsia="宋体"/>
          <w:b w:val="0"/>
          <w:sz w:val="24"/>
        </w:rPr>
        <w:t>：FTIR 证实 PHEAA−CMC 氢键及 Zn²⁺−CONH⁻ 配位；XRD 显示 HCZ 为高度无定形（利于链段运动与快输运）；XPS C 1s（288.1→288.7 eV）与 N 1s（~403.0 eV 新峰）证明 Zn²⁺ 与羰基/酰胺配位。SEM 显示 3D 多孔网络（CMC 引入所致）。力学：CMC 0→1 wt% 时拉伸应变 1187%→1465%、强度 175→1014 kPa、模量 0.11→0.50 kPa、韧性 1.09→6.45 MJ m⁻³，但 1.5 wt% 过度交联反而降韧性；疲劳阈值随应变 λA 增大达 200.5 J m⁻²（λA=2.0）。离子电导随 CMC 增至 1 wt% 达 30.2 mS cm⁻¹，1.5 wt% 降至 19.6（R0, p.4−5）。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 防冻/宽温机制（p.5−6）</w:t>
      </w:r>
      <w:r>
        <w:rPr>
          <w:rFonts w:ascii="Times New Roman" w:hAnsi="Times New Roman" w:eastAsia="宋体"/>
          <w:b w:val="0"/>
          <w:sz w:val="24"/>
        </w:rPr>
        <w:t>：DSC 显示 Zn(CF₃SO₃)₂ 浓度升到 2 m 时放热峰完全消失、出现 −42℃ 玻璃化转变（自由水大幅减少）；−30℃ 下 HCZ 不结冰仍柔韧。FTIR 解析出 O−H···F（水与 CF₃SO₃⁻）逐步取代 O−H···O（水-水），是防冻的分子证据。50℃ 12 h 保水率 80%（HZ 73%、HC 68.5%）；TG &lt;100℃ 失重仅 13.4%。DFT 证明水与 CF₃SO₃⁻/PHEAA/CMC 结合能强于水-水；MD 证实 HCZ 中水-水氢键数低于液态电解质（LE），强氢键水比例 25%→9%、弱氢键水 10.7%→36.3%；RDF 显示 Zn²⁺ 第一溶剂壳水配位数从 5.7 降至 4.6（被 −COOH/−OH 部分取代）（R0, p.5−6）。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4. 耐腐蚀高可逆锌负极（p.6, p.8−11）</w:t>
      </w:r>
      <w:r>
        <w:rPr>
          <w:rFonts w:ascii="Times New Roman" w:hAnsi="Times New Roman" w:eastAsia="宋体"/>
          <w:b w:val="0"/>
          <w:sz w:val="24"/>
        </w:rPr>
        <w:t>：Tafel 腐蚀电流显著降低；浸泡 10 d 后 HCZ 保护 Zn 表面光滑无副产物（XRD 无 ZnCO₃/ZnF₂ 峰）。恒电位 −150 mV 下 HCZ 电流 ~30 s 稳定（3D 扩散控制、均匀成核），LE 呈 2D 扩散特征。成核位移 Δη 从 87 降至 60 mV。Zn‖Cu 首圈 CE 93.47%（LE 85.18%）、2000 圈平均 CE 99.8%。Zn‖Zn 室温 3870 h、−30℃ &gt;3000 h、50℃ 2000 h；10 μm 锌箔在 DoD 40% 下 417 h、60% 下 312 h。AFM 粗糙度 98.3→15.5 nm。原位 XRD/原位光学显微证实 (002) 择优取向与无枝晶致密沉积（R0, p.8−11）。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5. 宽温全电池与穿梭抑制（p.11−14）</w:t>
      </w:r>
      <w:r>
        <w:rPr>
          <w:rFonts w:ascii="Times New Roman" w:hAnsi="Times New Roman" w:eastAsia="宋体"/>
          <w:b w:val="0"/>
          <w:sz w:val="24"/>
        </w:rPr>
        <w:t>：2 A g⁻¹ 室温 20000 圈保持 133.8 mAh g⁻¹、99.6%；5 A g⁻¹ 50000 圈 88.9%。−30℃ 2 A g⁻¹ 约 100 mAh g⁻¹ 20000 圈；50℃ 5 A g⁻¹ 120 mAh g⁻¹、30000 圈 95%。H 型电池中玻璃纤维隔膜 1 h 即扩散、24 h 两侧同色，HCZ 24 h 对侧近无色；原位拉曼 LE 负极区出现 I₃⁻(110 cm⁻¹)/I₅⁻(160 cm⁻¹)，HCZ 全程无信号。DFT：CMC 对 I₃⁻/I₅⁻ 结合能比 PHEAA 更负。自放电：满充静置 24 h 保持 84.9%（LE 67.6%）。软包 20℃/−30℃ 700 圈，穿刺/切割后仍工作（R0, p.13−14）。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CMC 含量"双刃剑"</w:t>
      </w:r>
      <w:r>
        <w:rPr>
          <w:rFonts w:ascii="Times New Roman" w:hAnsi="Times New Roman" w:eastAsia="宋体"/>
          <w:b w:val="0"/>
          <w:sz w:val="24"/>
        </w:rPr>
        <w:t>（R0, p.4−5）：1 wt% 最优，1.5 wt% 过度交联使韧性/电导/孔径同时恶化——配方窗口窄，放大需精确控制。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去溶剂化能垒的精细调控</w:t>
      </w:r>
      <w:r>
        <w:rPr>
          <w:rFonts w:ascii="Times New Roman" w:hAnsi="Times New Roman" w:eastAsia="宋体"/>
          <w:b w:val="0"/>
          <w:sz w:val="24"/>
        </w:rPr>
        <w:t>（R0, p.9）：需平衡"锁水降活度"与"Zn²⁺ 快速去溶剂化"，二者依赖同一氢键网络，优化空间有限。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多碘化物吸附的选择性</w:t>
      </w:r>
      <w:r>
        <w:rPr>
          <w:rFonts w:ascii="Times New Roman" w:hAnsi="Times New Roman" w:eastAsia="宋体"/>
          <w:b w:val="0"/>
          <w:sz w:val="24"/>
        </w:rPr>
        <w:t>（R0, p.14）：静电吸附 I₃⁻/I₅⁻ 的同时是否也吸附 CF₃SO₃⁻、影响阴离子迁移，文中未深入。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高负载/实用化</w:t>
      </w:r>
      <w:r>
        <w:rPr>
          <w:rFonts w:ascii="Times New Roman" w:hAnsi="Times New Roman" w:eastAsia="宋体"/>
          <w:b w:val="0"/>
          <w:sz w:val="24"/>
        </w:rPr>
        <w:t>（R0, p.13）：软包 15 mg cm⁻² 负载、N/P 2.6 下循环仅 700 圈，与扣电 20000 圈的"实验室极限"差距明显（R2 评价）。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可借鉴点（对毕设/学习直接有用）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"刚性+柔性"双网络 + 一锅法</w:t>
      </w:r>
      <w:r>
        <w:rPr>
          <w:rFonts w:ascii="Times New Roman" w:hAnsi="Times New Roman" w:eastAsia="宋体"/>
          <w:b w:val="0"/>
          <w:sz w:val="24"/>
        </w:rPr>
        <w:t>（R0, p.2）：CMC/PHEAA 双网络既抗疲劳又保柔韧，制备比 Hu 2025 的冻铸取向法更简单可放大，适合毕设复现。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"锁水防冻"的分子设计</w:t>
      </w:r>
      <w:r>
        <w:rPr>
          <w:rFonts w:ascii="Times New Roman" w:hAnsi="Times New Roman" w:eastAsia="宋体"/>
          <w:b w:val="0"/>
          <w:sz w:val="24"/>
        </w:rPr>
        <w:t>（R0, p.5−6）：用 CF₃SO₃⁻ 的 O−H···F 键替换水-水氢键、量化强/弱氢键水比例，是"凝胶抑制析氢 + 宽温"的统一框架。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DRT 阻抗解耦界面过程</w:t>
      </w:r>
      <w:r>
        <w:rPr>
          <w:rFonts w:ascii="Times New Roman" w:hAnsi="Times New Roman" w:eastAsia="宋体"/>
          <w:b w:val="0"/>
          <w:sz w:val="24"/>
        </w:rPr>
        <w:t>（R0, p.12−13）：用弛豫时间分布把"Zn 去溶剂化/吸附"与"Zn²⁺ 迁移结晶"分离，是分析界面动力学的利器（与共享 EIS 教程呼应）。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DFT 吸附能排序论证选择性</w:t>
      </w:r>
      <w:r>
        <w:rPr>
          <w:rFonts w:ascii="Times New Roman" w:hAnsi="Times New Roman" w:eastAsia="宋体"/>
          <w:b w:val="0"/>
          <w:sz w:val="24"/>
        </w:rPr>
        <w:t>（R0, p.10−11, p.14）：Zn(002) 面吸附能排序 PHEAA(−CONH⁻)&gt;CMC(−OH)&gt;…&gt;H₂O，解释择优取向与抑制 HER 的同一性。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H 型电池 + 原位拉曼的穿梭定量</w:t>
      </w:r>
      <w:r>
        <w:rPr>
          <w:rFonts w:ascii="Times New Roman" w:hAnsi="Times New Roman" w:eastAsia="宋体"/>
          <w:b w:val="0"/>
          <w:sz w:val="24"/>
        </w:rPr>
        <w:t>（R0, p.13−14）：是课题 39 验证"限穿梭"效果的标准实验组合。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与 Hu 2025 的体系对照</w:t>
      </w:r>
      <w:r>
        <w:rPr>
          <w:rFonts w:ascii="Times New Roman" w:hAnsi="Times New Roman" w:eastAsia="宋体"/>
          <w:b w:val="0"/>
          <w:sz w:val="24"/>
        </w:rPr>
        <w:t>（R2）：Hu 用低水 IL 凝胶（σ≈0.74 mS cm⁻¹、四电子、无低温数据）；Yu 用高水双网络凝胶（σ≈30 mS cm⁻¹、两电子、宽温）。课题 39 可据此做一张"水含量—电导—工作温区—电子转移数"的四维权衡图，作为开题论证。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"抑制析氢"与"快离子"的统一</w:t>
      </w:r>
      <w:r>
        <w:rPr>
          <w:rFonts w:ascii="Times New Roman" w:hAnsi="Times New Roman" w:eastAsia="宋体"/>
          <w:b w:val="0"/>
          <w:sz w:val="24"/>
        </w:rPr>
        <w:t>（R2）：本文证明同一氢键网络既能降自由水活度又能降去溶剂化能垒，提示课题 39 不必把二者当对立目标，而应优化官能团种类与配比。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向 PVA/PAAm/PEO 迁移</w:t>
      </w:r>
      <w:r>
        <w:rPr>
          <w:rFonts w:ascii="Times New Roman" w:hAnsi="Times New Roman" w:eastAsia="宋体"/>
          <w:b w:val="0"/>
          <w:sz w:val="24"/>
        </w:rPr>
        <w:t>（R2）：CMC 的羧基、PHEAA 的酰胺基分别对应课题 39 的 PAAm（酰胺）与 PVA（羟基），可把本文的 O−H···F 锁水思路移植到 PEO/Zn(CF₃SO₃)₂ 体系验证普适性。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分级，结论可回溯至 PDF 页码/章节）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