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文献精读报告：DPA4: Pushing the Accuracy–Cost Frontier of Interatomic Potentials with EMFA SO(2) Convolution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：Tiancheng Li, Wentao Li, Anyang Peng, Jianming Xue, Linfeng Zhang, Duo Zhang, Han Wang（AI for Science Institute / 北京大学 / 清华大学 / DP Technology / IAPCM）｜本 PDF 为 arXiv 预印本 arXiv:2606.02419v3（10 Jun 2026）｜精读日期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一句话定位：本文提出 </w:t>
      </w:r>
      <w:r>
        <w:rPr>
          <w:rFonts w:ascii="Times New Roman" w:hAnsi="Times New Roman" w:eastAsia="宋体"/>
          <w:b/>
          <w:sz w:val="24"/>
        </w:rPr>
        <w:t>DPA4</w:t>
      </w:r>
      <w:r>
        <w:rPr>
          <w:rFonts w:ascii="Times New Roman" w:hAnsi="Times New Roman" w:eastAsia="宋体"/>
          <w:b w:val="0"/>
          <w:sz w:val="24"/>
        </w:rPr>
        <w:t xml:space="preserve">——一种 SE(3) 等变原子间势架构，以 </w:t>
      </w:r>
      <w:r>
        <w:rPr>
          <w:rFonts w:ascii="Times New Roman" w:hAnsi="Times New Roman" w:eastAsia="宋体"/>
          <w:b/>
          <w:sz w:val="24"/>
        </w:rPr>
        <w:t>EMFA（Edge-conditioned, Multi-Focus, Attention）SO(2) 卷积</w:t>
      </w:r>
      <w:r>
        <w:rPr>
          <w:rFonts w:ascii="Times New Roman" w:hAnsi="Times New Roman" w:eastAsia="宋体"/>
          <w:b w:val="0"/>
          <w:sz w:val="24"/>
        </w:rPr>
        <w:t>为核心，在"精度–成本"帕累托前沿上同时压低模型参数与训练算力（R0，摘要 p1）。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核心内容：用低秩"边–节点 SO(2) 等变乘积（A1）"替代昂贵的 SO(3) Clebsch–Gordan 张量积，配合多焦点非线性（A2）、包络门控注意力（A3）与 Lebedev 网格投影保持 SO(3) 等变（A4）；并全程采用"保守能量-梯度"训练路径（力/应力由能量求导），配合 torch.compile 提速约 3 倍（R0，摘要 p1、p2–4）。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主要结论：在 </w:t>
      </w:r>
      <w:r>
        <w:rPr>
          <w:rFonts w:ascii="Times New Roman" w:hAnsi="Times New Roman" w:eastAsia="宋体"/>
          <w:b/>
          <w:sz w:val="24"/>
        </w:rPr>
        <w:t>Matbench Discovery</w:t>
      </w:r>
      <w:r>
        <w:rPr>
          <w:rFonts w:ascii="Times New Roman" w:hAnsi="Times New Roman" w:eastAsia="宋体"/>
          <w:b w:val="0"/>
          <w:sz w:val="24"/>
        </w:rPr>
        <w:t>（无机晶体稳定性发现基准）上，DPA4-Pro 以 0.833 的 CPS 登顶；DPA4-Air（2.76M 参数）以 10.9 倍更少参数、42.9 倍更少训练算力超过 eSEN-30M-MP（30.1M）的精度（R0，摘要 p1、Table 1 p5）。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本文与课题 47 的关联</w:t>
      </w:r>
      <w:r>
        <w:rPr>
          <w:rFonts w:ascii="Times New Roman" w:hAnsi="Times New Roman" w:eastAsia="宋体"/>
          <w:b/>
          <w:sz w:val="24"/>
        </w:rPr>
        <w:t>最为直接</w:t>
      </w:r>
      <w:r>
        <w:rPr>
          <w:rFonts w:ascii="Times New Roman" w:hAnsi="Times New Roman" w:eastAsia="宋体"/>
          <w:b w:val="0"/>
          <w:sz w:val="24"/>
        </w:rPr>
        <w:t>：Matbench Discovery 基准的任务正是"用 MPtrj 训练的模型弛豫假想晶体（WBM 候选）→ 以形成能与凸包距离评判相稳定性"——与课题 47 的"通用 MLIP 弛豫 → 相图热力学验证"逐字对应（R0，p5、p13）。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可直接借鉴</w:t>
      </w:r>
      <w:r>
        <w:rPr>
          <w:rFonts w:ascii="Times New Roman" w:hAnsi="Times New Roman" w:eastAsia="宋体"/>
          <w:b w:val="0"/>
          <w:sz w:val="24"/>
        </w:rPr>
        <w:t>：①DPA4 系列在"假想晶体稳定性判稳"任务上给出当前最优的精度-成本权衡，是毕设判稳环节的推荐 MLIP 候选（R0，Table 1）；②Table 1 给出了</w:t>
      </w:r>
      <w:r>
        <w:rPr>
          <w:rFonts w:ascii="Times New Roman" w:hAnsi="Times New Roman" w:eastAsia="宋体"/>
          <w:b/>
          <w:sz w:val="24"/>
        </w:rPr>
        <w:t>同任务下的模型排序</w:t>
      </w:r>
      <w:r>
        <w:rPr>
          <w:rFonts w:ascii="Times New Roman" w:hAnsi="Times New Roman" w:eastAsia="宋体"/>
          <w:b w:val="0"/>
          <w:sz w:val="24"/>
        </w:rPr>
        <w:t>：DPA4-Pro(0.833) &gt; EquiformerV3+DeNS(0.830) &gt; eSEN-30M(0.797) &gt; DPA-3.1(0.718) &gt; MACE-MP-0(0.637) &gt; CHGNet(0.343) &gt; M3GNet(0.310)——这直接回答"选哪个通用势判稳"（R0，p5）；③保守能量-梯度训练 + ZBL 短程耦合，保证力/应力自洽与 MD 稳定，是判稳弛豫收敛性的工程前提（R0，p4–5）。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：κSRME（热导率相关）指标显示 DPA4 还兼顾声子/热输运性质，与课题 22 的 LLM Agent 热输运也有间接联系（R0，p13）。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动机（p1–2）</w:t>
      </w:r>
      <w:r>
        <w:rPr>
          <w:rFonts w:ascii="Times New Roman" w:hAnsi="Times New Roman" w:eastAsia="宋体"/>
          <w:b w:val="0"/>
          <w:sz w:val="24"/>
        </w:rPr>
        <w:t>：LAM（大规模原子模型）训练成本高昂——UMA-M 需 129,024 H200 GPU 小时；现有领先模型为规避保守训练的"二次反向"代价，改用 DeNS/直接力预测两阶段预训练，工程复杂（R0 p1–2）。DPA4 目标是"从开始就对编译器友好的保守训练"。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架构（p2–5）</w:t>
      </w:r>
      <w:r>
        <w:rPr>
          <w:rFonts w:ascii="Times New Roman" w:hAnsi="Times New Roman" w:eastAsia="宋体"/>
          <w:b w:val="0"/>
          <w:sz w:val="24"/>
        </w:rPr>
        <w:t xml:space="preserve">：总能量 E = 学习等变分支 + ZBL 解析短程分支；几何信息嵌入（GIE）→ N 层等变交互块（EMFA SO(2) 卷积 + 等变 FFN）→ 原子能量头读出（p13）。EMFA SO(2) 卷积在边局域 SO(2) 框架内用低秩乘积替代 SO(3) 张量积（A1）；多焦点流 + 跨焦点竞争分离表达力与通道宽度（A2）；包络门控注意力聚合消息（A3）；FFN 用 Lebedev 网格球面 SwiGLU 非线性，等变误差降至机器精度（A4）。短程用 </w:t>
      </w:r>
      <w:r>
        <w:rPr>
          <w:rFonts w:ascii="Times New Roman" w:hAnsi="Times New Roman" w:eastAsia="宋体"/>
          <w:b/>
          <w:sz w:val="24"/>
        </w:rPr>
        <w:t>Native ZBL Zone Bridging</w:t>
      </w:r>
      <w:r>
        <w:rPr>
          <w:rFonts w:ascii="Times New Roman" w:hAnsi="Times New Roman" w:eastAsia="宋体"/>
          <w:b w:val="0"/>
          <w:sz w:val="24"/>
        </w:rPr>
        <w:t xml:space="preserve"> 平滑桥接，而非事后修正（p4–5）。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Matbench Discovery（p5–7，Table 1）</w:t>
      </w:r>
      <w:r>
        <w:rPr>
          <w:rFonts w:ascii="Times New Roman" w:hAnsi="Times New Roman" w:eastAsia="宋体"/>
          <w:b w:val="0"/>
          <w:sz w:val="24"/>
        </w:rPr>
        <w:t>：DPA4-Pro CPS 0.833、F1 0.859、κSRME 0.255、形成能 MAE 0.030 eV/atom、20.91M 参数，登顶；比 EquiformerV3+DeNS-MP（0.830）高且省 31% 参数；DPA4-Air（0.804、2.76M）超过 eSEN-30M-MP（0.797、30.1M）；DPA4-Neo（1.60M）仍达 0.781（R0 p5–7）。训练成本：DPA4-Air 7.8 A100 GPU-day，vs eSEN-30M-MP 335 GPU-day（42.9×）（p7）。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SPICE-MACE-OFF 分子基准（p7–8，Table 2）</w:t>
      </w:r>
      <w:r>
        <w:rPr>
          <w:rFonts w:ascii="Times New Roman" w:hAnsi="Times New Roman" w:eastAsia="宋体"/>
          <w:b w:val="0"/>
          <w:sz w:val="24"/>
        </w:rPr>
        <w:t>：DPA4-Plus（5.4M）聚合能量/力误差最低（LW AMAE），相对 eSEN 基线降 29%/30%；DPA4-Air（2.7M）以 ~2.4 倍更少参数仍超过该基线（R0 p7–8）。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效率与短程行为（p8、p12）</w:t>
      </w:r>
      <w:r>
        <w:rPr>
          <w:rFonts w:ascii="Times New Roman" w:hAnsi="Times New Roman" w:eastAsia="宋体"/>
          <w:b w:val="0"/>
          <w:sz w:val="24"/>
        </w:rPr>
        <w:t>：torch.compile + bf16 混合精度下提速至约 3 倍；ZBL 耦合经 C–Si 二聚体亚埃级扫描验证，稀疏采样区由解析斥力主导、过渡平滑（p8、p12–13）。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SO(3) 张量积成本</w:t>
      </w:r>
      <w:r>
        <w:rPr>
          <w:rFonts w:ascii="Times New Roman" w:hAnsi="Times New Roman" w:eastAsia="宋体"/>
          <w:b w:val="0"/>
          <w:sz w:val="24"/>
        </w:rPr>
        <w:t>：等变模型成本随角阶快速增长，是训练瓶颈（R0 p1）。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保守训练的编译难度</w:t>
      </w:r>
      <w:r>
        <w:rPr>
          <w:rFonts w:ascii="Times New Roman" w:hAnsi="Times New Roman" w:eastAsia="宋体"/>
          <w:b w:val="0"/>
          <w:sz w:val="24"/>
        </w:rPr>
        <w:t>：力损失需对能量二次反向，通用加速栈不适用（R0 p1–2）。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短程斥力建模</w:t>
      </w:r>
      <w:r>
        <w:rPr>
          <w:rFonts w:ascii="Times New Roman" w:hAnsi="Times New Roman" w:eastAsia="宋体"/>
          <w:b w:val="0"/>
          <w:sz w:val="24"/>
        </w:rPr>
        <w:t>：DFT 数据在近接触区稀疏，需 ZBL 平滑桥接避免发散（R0 p4–5、p12）。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精度-成本权衡的边界</w:t>
      </w:r>
      <w:r>
        <w:rPr>
          <w:rFonts w:ascii="Times New Roman" w:hAnsi="Times New Roman" w:eastAsia="宋体"/>
          <w:b w:val="0"/>
          <w:sz w:val="24"/>
        </w:rPr>
        <w:t>：从 Air 到 Neo，CPS 从 0.804 降到 0.781，但算力几乎不再省（7.8→6.5 GPU-day），说明小模型受制于硬件与近邻表构建等非参数开销（R0 p7）。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按 Matbench Discovery 排序选型</w:t>
      </w:r>
      <w:r>
        <w:rPr>
          <w:rFonts w:ascii="Times New Roman" w:hAnsi="Times New Roman" w:eastAsia="宋体"/>
          <w:b w:val="0"/>
          <w:sz w:val="24"/>
        </w:rPr>
        <w:t>：毕设判稳优先用 DPA4-Air/Plus 或 EquiformerV3+DeNS 等新模型，而非老一代 M3GNet/CHGNet（其 CPS 仅 0.31/0.34，形成能 MAE 0.075/0.063 eV/atom，判稳误差显著更大）（R0，Table 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用 CPS/F1/MAE/κSRME 等 Matbench Discovery 指标作为毕设评价"MLIP 判稳能力"的统一口径（R0，p5）。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"小模型 + 保守训练 + 好架构"能达到大模型精度的结论，支撑毕设在单卡工作站上完成判稳实验的可行性（R0，p7）。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Table 1 直接量化了 M3GNet（课题 47 母本）在 2026 年判稳基准上的位置已落后于 DPA4/MACE 一代，说明课题 47 若复现 M3GNet 流程应升级判稳骨干，或至少做跨模型一致性检验（R2）。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DPA4 的"保守能量-梯度 + ZBL 桥接"保证了力/应力自洽，这对"弛豫收敛到正确局域极小值"至关重要，而后者正是相稳定性判定是否可信的前提（R2）。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DPA4 定位为未来多任务 LAM 预训练骨干，与 MatterGen（生成）、MatPES（数据）、MatGL（库）共同构成 2025–2026 材料 AI 的新一代栈，毕设可围绕这套栈搭建流水线（R2）。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