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文献精读报告：Accelerated data-driven materials science with the Materials Project</w:t>
      </w:r>
    </w:p>
    <w:p/>
    <w:p/>
    <w:p/>
    <w:p/>
    <w:p/>
    <w:p/>
    <w:p/>
    <w:p/>
    <w:p/>
    <w:p/>
    <w:p/>
    <w:p/>
    <w:p/>
    <w:p/>
    <w:p>
      <w:pPr>
        <w:jc w:val="center"/>
      </w:pPr>
      <w:r>
        <w:rPr>
          <w:rFonts w:ascii="宋体" w:hAnsi="宋体" w:eastAsia="宋体"/>
          <w:sz w:val="24"/>
        </w:rPr>
        <w:t>编制日期：2026年08月21日</w:t>
      </w:r>
    </w:p>
    <w:p/>
    <w:p>
      <w:r>
        <w:br w:type="page"/>
      </w:r>
    </w:p>
    <w:p>
      <w:pPr>
        <w:spacing w:before="120" w:after="120"/>
        <w:ind w:left="567" w:right="567"/>
        <w:pBdr>
          <w:left w:val="single" w:sz="12" w:color="6366F1"/>
        </w:pBdr>
      </w:pPr>
      <w:r>
        <w:rPr>
          <w:rFonts w:ascii="Times New Roman" w:hAnsi="Times New Roman" w:eastAsia="宋体"/>
          <w:b/>
          <w:sz w:val="24"/>
        </w:rPr>
        <w:t>元信息</w:t>
      </w:r>
      <w:r>
        <w:rPr>
          <w:rFonts w:ascii="Times New Roman" w:hAnsi="Times New Roman" w:eastAsia="宋体"/>
          <w:b w:val="0"/>
          <w:sz w:val="24"/>
        </w:rPr>
        <w:t>：Matthew K. Horton, Patrick Huck, …, Shyue Ping Ong（第19作者）, Anubhav Jain, Kristin A. Persson（通讯, kapersson@lbl.gov）｜《Nature Materials》Volume 24, October 2025, 1522–1532，Perspective（综述/展望）｜DOI: 10.1038/s41563-025-02272-0（2025-07-03 在线发表）｜精读日期 2026-08-21</w:t>
      </w:r>
    </w:p>
    <w:p>
      <w:pPr>
        <w:spacing w:before="120" w:after="120"/>
        <w:ind w:left="567" w:right="567"/>
        <w:pBdr>
          <w:left w:val="single" w:sz="12" w:color="6366F1"/>
        </w:pBdr>
      </w:pPr>
      <w:r>
        <w:rPr>
          <w:rFonts w:ascii="Times New Roman" w:hAnsi="Times New Roman" w:eastAsia="宋体"/>
          <w:b w:val="0"/>
          <w:sz w:val="24"/>
        </w:rPr>
        <w:t>证据分级：R0=原文事实（附页码/章节锚点）｜R1=外部背景知识｜R2=推断/评价</w:t>
      </w:r>
    </w:p>
    <w:p/>
    <w:p>
      <w:pPr>
        <w:pStyle w:val="2"/>
        <w:pageBreakBefore w:val="0"/>
      </w:pPr>
      <w:r>
        <w:rPr>
          <w:rFonts w:ascii="Times New Roman" w:hAnsi="Times New Roman" w:eastAsia="宋体"/>
          <w:b/>
          <w:sz w:val="44"/>
        </w:rPr>
        <w:t>1. 文献速览总结</w:t>
      </w:r>
    </w:p>
    <w:p>
      <w:pPr>
        <w:spacing w:line="360" w:lineRule="auto"/>
        <w:ind w:firstLine="420"/>
      </w:pPr>
      <w:r>
        <w:rPr>
          <w:rFonts w:ascii="Times New Roman" w:hAnsi="Times New Roman" w:eastAsia="宋体"/>
          <w:b w:val="0"/>
          <w:sz w:val="24"/>
        </w:rPr>
        <w:t>一句话定位：这是 Materials Project（MP）团队对自身十年工作的</w:t>
      </w:r>
      <w:r>
        <w:rPr>
          <w:rFonts w:ascii="Times New Roman" w:hAnsi="Times New Roman" w:eastAsia="宋体"/>
          <w:b/>
          <w:sz w:val="24"/>
        </w:rPr>
        <w:t>官方总结与展望</w:t>
      </w:r>
      <w:r>
        <w:rPr>
          <w:rFonts w:ascii="Times New Roman" w:hAnsi="Times New Roman" w:eastAsia="宋体"/>
          <w:b w:val="0"/>
          <w:sz w:val="24"/>
        </w:rPr>
        <w:t>，系统交代了 MP 作为"数据平台 + 软件生态"如何推动数据驱动材料科学，并明确其在 AI/MLIP 时代的定位（R0，摘要 p1522）。</w:t>
      </w:r>
    </w:p>
    <w:p>
      <w:pPr>
        <w:spacing w:line="360" w:lineRule="auto"/>
        <w:ind w:firstLine="420"/>
      </w:pPr>
      <w:r>
        <w:rPr>
          <w:rFonts w:ascii="Times New Roman" w:hAnsi="Times New Roman" w:eastAsia="宋体"/>
          <w:b w:val="0"/>
          <w:sz w:val="24"/>
        </w:rPr>
        <w:t>核心内容：MP 于 2011 年正式上线，全球注册用户已超 60 万；现覆盖 178,627 个材料、51,298 个化学体系、228 个空间群（R0，p1523–1524）。其独特价值在于保留了 DFT 弛豫轨迹（能量/力/应力中间态数据），这批数据催生了 M3GNet、CHGNet 等覆盖全周期表的通用 MLIP（R0，p1523、p1528–1529）。</w:t>
      </w:r>
    </w:p>
    <w:p>
      <w:pPr>
        <w:spacing w:line="360" w:lineRule="auto"/>
        <w:ind w:firstLine="420"/>
      </w:pPr>
      <w:r>
        <w:rPr>
          <w:rFonts w:ascii="Times New Roman" w:hAnsi="Times New Roman" w:eastAsia="宋体"/>
          <w:b w:val="0"/>
          <w:sz w:val="24"/>
        </w:rPr>
        <w:t>主要结论：MP 已从"数据库"演进为"计算 + 软件 + 社区"三位一体的开放平台，并正在把 DFT 工作流与 ML 势互换（atomate2），以"速度/精度可调"的方式支撑虚拟材料设计（R0，p1529）。</w:t>
      </w:r>
    </w:p>
    <w:p/>
    <w:p>
      <w:r>
        <w:br w:type="page"/>
      </w:r>
    </w:p>
    <w:p>
      <w:pPr>
        <w:pStyle w:val="2"/>
        <w:pageBreakBefore w:val="0"/>
      </w:pPr>
      <w:r>
        <w:rPr>
          <w:rFonts w:ascii="Times New Roman" w:hAnsi="Times New Roman" w:eastAsia="宋体"/>
          <w:b/>
          <w:sz w:val="44"/>
        </w:rPr>
        <w:t>2. 课题关联分析</w:t>
      </w:r>
    </w:p>
    <w:p>
      <w:pPr>
        <w:spacing w:line="360" w:lineRule="auto"/>
        <w:ind w:firstLine="420"/>
      </w:pPr>
      <w:r>
        <w:rPr>
          <w:rFonts w:ascii="Times New Roman" w:hAnsi="Times New Roman" w:eastAsia="宋体"/>
          <w:b w:val="0"/>
          <w:sz w:val="24"/>
        </w:rPr>
        <w:t>本文是课题 47 的</w:t>
      </w:r>
      <w:r>
        <w:rPr>
          <w:rFonts w:ascii="Times New Roman" w:hAnsi="Times New Roman" w:eastAsia="宋体"/>
          <w:b/>
          <w:sz w:val="24"/>
        </w:rPr>
        <w:t>数据与工具底座说明书</w:t>
      </w:r>
      <w:r>
        <w:rPr>
          <w:rFonts w:ascii="Times New Roman" w:hAnsi="Times New Roman" w:eastAsia="宋体"/>
          <w:b w:val="0"/>
          <w:sz w:val="24"/>
        </w:rPr>
        <w:t>：课题 47 流水线中"Materials Project 对照""相图热力学验证"两个环节都直接依赖本文描述的 MP 基础设施。</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直接可借鉴</w:t>
      </w:r>
      <w:r>
        <w:rPr>
          <w:rFonts w:ascii="Times New Roman" w:hAnsi="Times New Roman" w:eastAsia="宋体"/>
          <w:b w:val="0"/>
          <w:sz w:val="24"/>
        </w:rPr>
        <w:t>：①MP 的相稳定性数据（Table 1：热力学稳定性形成能 341,314 条）与判据（energy above hull、凸包）正是 MLIP 判稳的"黄金参照"（R0，p1526）；②atomate2 已支持把 DFT 仿真替换为 ML 势，与课题"通用 MLIP 弛豫"环节完全对齐（R0，p1529）；③MP 提供 pymatgen、emmet、crystal_toolkit、robocrystallographer 等开源工具栈，是毕设写流水线代码的现成依赖（R0，p1524–1527）。</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对 7 志愿整体</w:t>
      </w:r>
      <w:r>
        <w:rPr>
          <w:rFonts w:ascii="Times New Roman" w:hAnsi="Times New Roman" w:eastAsia="宋体"/>
          <w:b w:val="0"/>
          <w:sz w:val="24"/>
        </w:rPr>
        <w:t>：文中明确点出 M3GNet（Chen &amp; Ong）与 CHGNet（Deng）两个通用 MLIP 源，把课题 47 与导师 Ong 的 M3GNet 谱系、以及 Deng 团队工作（课题 22/23/24）串成一条线索（R0，p1528）；案例 LiMOCl₄（M=Nb,Ta）固态电解质（源自 LiVOF₄，mp-850188）直接对应课题 23/50 的卤化物 SSE（R0，p1529）。</w:t>
      </w:r>
    </w:p>
    <w:p/>
    <w:p>
      <w:r>
        <w:br w:type="page"/>
      </w:r>
    </w:p>
    <w:p>
      <w:pPr>
        <w:pStyle w:val="2"/>
        <w:pageBreakBefore w:val="0"/>
      </w:pPr>
      <w:r>
        <w:rPr>
          <w:rFonts w:ascii="Times New Roman" w:hAnsi="Times New Roman" w:eastAsia="宋体"/>
          <w:b/>
          <w:sz w:val="44"/>
        </w:rPr>
        <w:t>3. 内容深度解读</w:t>
      </w:r>
    </w:p>
    <w:p>
      <w:pPr>
        <w:spacing w:line="360" w:lineRule="auto"/>
        <w:ind w:firstLine="420"/>
      </w:pPr>
      <w:r>
        <w:rPr>
          <w:rFonts w:ascii="Times New Roman" w:hAnsi="Times New Roman" w:eastAsia="宋体"/>
          <w:b/>
          <w:sz w:val="24"/>
        </w:rPr>
        <w:t>1. 引言与定位（p1522–1523）</w:t>
      </w:r>
      <w:r>
        <w:rPr>
          <w:rFonts w:ascii="Times New Roman" w:hAnsi="Times New Roman" w:eastAsia="宋体"/>
          <w:b w:val="0"/>
          <w:sz w:val="24"/>
        </w:rPr>
        <w:t>：MP 以开放数据/开源/协作原则启动，如今与 NOMAD、OQMD、AFLOW、JARVIS、Materials Cloud 并列，标志计算材料学整体转向数据驱动（R0 p1522）。</w:t>
      </w:r>
    </w:p>
    <w:p>
      <w:pPr>
        <w:spacing w:line="360" w:lineRule="auto"/>
        <w:ind w:firstLine="420"/>
      </w:pPr>
      <w:r>
        <w:rPr>
          <w:rFonts w:ascii="Times New Roman" w:hAnsi="Times New Roman" w:eastAsia="宋体"/>
          <w:b/>
          <w:sz w:val="24"/>
        </w:rPr>
        <w:t>2. MP 数据库：广度（breadth）与深度（depth）双轴（p1523–1524）</w:t>
      </w:r>
      <w:r>
        <w:rPr>
          <w:rFonts w:ascii="Times New Roman" w:hAnsi="Times New Roman" w:eastAsia="宋体"/>
          <w:b w:val="0"/>
          <w:sz w:val="24"/>
        </w:rPr>
        <w:t>：广度指独特材料数，深度指每个材料的性质/元数据丰富度。数据源来自 ICSD、Pauling File、COD，并用 NLP 文本挖掘补充文献中的新组成（p1523）。热力学稳定性方面通过经验修正 + 采用 r2SCAN 泛函、GGA/r2SCAN 混合方案提升形成焓精度（p1523–1524）。Table 1 列出各性质条目数：热力学稳定性形成能 341,314、压电 3,292、弹性常数 12,128、声子 1,521、X 射线吸收谱 500,000、水相稳定性 Pourbaix 图 52,082、能带 70,451、磁性 27,000、非晶 5,120 等（p1526）。</w:t>
      </w:r>
    </w:p>
    <w:p>
      <w:pPr>
        <w:spacing w:line="360" w:lineRule="auto"/>
        <w:ind w:firstLine="420"/>
      </w:pPr>
      <w:r>
        <w:rPr>
          <w:rFonts w:ascii="Times New Roman" w:hAnsi="Times New Roman" w:eastAsia="宋体"/>
          <w:b/>
          <w:sz w:val="24"/>
        </w:rPr>
        <w:t>3. 软件栈与算法（p1524、p1526）</w:t>
      </w:r>
      <w:r>
        <w:rPr>
          <w:rFonts w:ascii="Times New Roman" w:hAnsi="Times New Roman" w:eastAsia="宋体"/>
          <w:b w:val="0"/>
          <w:sz w:val="24"/>
        </w:rPr>
        <w:t>：生产工作流用 VASP，最新流程软件 atomate2 支持其他代码；核心库 pymatgen、emmet（ETL）、crystal_toolkit（可视化）、robocrystallographer（结构文字描述）等；算法上贡献了 CrystalNN、ChemEnv、反应网络可合成性分析等（p1524）。</w:t>
      </w:r>
    </w:p>
    <w:p>
      <w:pPr>
        <w:spacing w:line="360" w:lineRule="auto"/>
        <w:ind w:firstLine="420"/>
      </w:pPr>
      <w:r>
        <w:rPr>
          <w:rFonts w:ascii="Times New Roman" w:hAnsi="Times New Roman" w:eastAsia="宋体"/>
          <w:b/>
          <w:sz w:val="24"/>
        </w:rPr>
        <w:t>4. 应用案例（p1526–1529，Fig. 3）</w:t>
      </w:r>
      <w:r>
        <w:rPr>
          <w:rFonts w:ascii="Times New Roman" w:hAnsi="Times New Roman" w:eastAsia="宋体"/>
          <w:b w:val="0"/>
          <w:sz w:val="24"/>
        </w:rPr>
        <w:t>：多个"预测→合成→验证"闭环案例——Ba₂BiTaO₆（p 型透明导体，筛 3,600 个四元氧化物）、Na₃SbO₄（碳捕集，系统搜索 1,400 余碳化反应相图）、TmAgTe₂/YCuTe₂（热电）、Sr₂AlSi₂O₆N:Eu²⁺ 与 NaBaB₉O₁₅:Eu²⁺（荧光粉，后者由体/剪切模量训练的 ML 德拜温度模型发现）、LiMOCl₄（M=Nb,Ta，全固态电池固态电解质，由 LiVOF₄ 结构离子替换派生）（R0 p1528–1529）。</w:t>
      </w:r>
    </w:p>
    <w:p>
      <w:pPr>
        <w:spacing w:line="360" w:lineRule="auto"/>
        <w:ind w:firstLine="420"/>
      </w:pPr>
      <w:r>
        <w:rPr>
          <w:rFonts w:ascii="Times New Roman" w:hAnsi="Times New Roman" w:eastAsia="宋体"/>
          <w:b/>
          <w:sz w:val="24"/>
        </w:rPr>
        <w:t>5. MP for AI/ML（p1528–1529）</w:t>
      </w:r>
      <w:r>
        <w:rPr>
          <w:rFonts w:ascii="Times New Roman" w:hAnsi="Times New Roman" w:eastAsia="宋体"/>
          <w:b w:val="0"/>
          <w:sz w:val="24"/>
        </w:rPr>
        <w:t>：利用十年弛豫轨迹势能面数据训练出覆盖全周期表的通用图深度学习 IP——M3GNet、CHGNet，大幅扩展材料发现空间，并强调要补充亚稳/非平衡体系数据（p1528）。标准化数据集 Matbench（13 种性质）已成社区基准；未来 atomate2 将 DFT 与 ML 势互换（p1529）。</w:t>
      </w:r>
    </w:p>
    <w:p>
      <w:pPr>
        <w:spacing w:line="360" w:lineRule="auto"/>
        <w:ind w:firstLine="420"/>
      </w:pPr>
      <w:r>
        <w:rPr>
          <w:rFonts w:ascii="Times New Roman" w:hAnsi="Times New Roman" w:eastAsia="宋体"/>
          <w:b/>
          <w:sz w:val="24"/>
        </w:rPr>
        <w:t>6. 挑战与展望（p1526–1527）</w:t>
      </w:r>
      <w:r>
        <w:rPr>
          <w:rFonts w:ascii="Times New Roman" w:hAnsi="Times New Roman" w:eastAsia="宋体"/>
          <w:b w:val="0"/>
          <w:sz w:val="24"/>
        </w:rPr>
        <w:t>：GGA 泛函描述局域电子态不足，r2SCAN 已部分引入；磁性基态枚举工作流对 95% 基准案例预测正确；有限温度声子（谐波近似）可算自由能、判相变温度；呼吁扩展化学/构型空间、增加亚稳与非平衡体系（p1526–1527）。</w:t>
      </w:r>
    </w:p>
    <w:p>
      <w:pPr>
        <w:spacing w:line="360" w:lineRule="auto"/>
        <w:ind w:firstLine="420"/>
      </w:pPr>
      <w:r>
        <w:rPr>
          <w:rFonts w:ascii="Times New Roman" w:hAnsi="Times New Roman" w:eastAsia="宋体"/>
          <w:b/>
          <w:sz w:val="24"/>
        </w:rPr>
        <w:t>7. 社区与治理（p1529–1530）</w:t>
      </w:r>
      <w:r>
        <w:rPr>
          <w:rFonts w:ascii="Times New Roman" w:hAnsi="Times New Roman" w:eastAsia="宋体"/>
          <w:b w:val="0"/>
          <w:sz w:val="24"/>
        </w:rPr>
        <w:t>：建立 matsci.org 社区、Materials Project Foundation 开源治理、用户教育（workshop、文档、notebook）等（p1529–1530）。</w:t>
      </w:r>
    </w:p>
    <w:p/>
    <w:p>
      <w:r>
        <w:br w:type="page"/>
      </w:r>
    </w:p>
    <w:p>
      <w:pPr>
        <w:pStyle w:val="2"/>
        <w:pageBreakBefore w:val="0"/>
      </w:pPr>
      <w:r>
        <w:rPr>
          <w:rFonts w:ascii="Times New Roman" w:hAnsi="Times New Roman" w:eastAsia="宋体"/>
          <w:b/>
          <w:sz w:val="44"/>
        </w:rPr>
        <w:t>4. 技术难点识别</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无序/非化学计量材料表示</w:t>
      </w:r>
      <w:r>
        <w:rPr>
          <w:rFonts w:ascii="Times New Roman" w:hAnsi="Times New Roman" w:eastAsia="宋体"/>
          <w:b w:val="0"/>
          <w:sz w:val="24"/>
        </w:rPr>
        <w:t>：DFT 需完全有序单胞，有序近似不唯一、可能漏掉固溶度，正在用聚类展开等方法处理（R0 p1523）。</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模拟元数据与可追溯性</w:t>
      </w:r>
      <w:r>
        <w:rPr>
          <w:rFonts w:ascii="Times New Roman" w:hAnsi="Times New Roman" w:eastAsia="宋体"/>
          <w:b w:val="0"/>
          <w:sz w:val="24"/>
        </w:rPr>
        <w:t>：保留电荷密度、结构溯源、弛豫轨迹等元数据才能支撑 ML 势持续开发（R0 p1523）。</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数据生产的"人力速率限制"</w:t>
      </w:r>
      <w:r>
        <w:rPr>
          <w:rFonts w:ascii="Times New Roman" w:hAnsi="Times New Roman" w:eastAsia="宋体"/>
          <w:b w:val="0"/>
          <w:sz w:val="24"/>
        </w:rPr>
        <w:t>：自动工作流仍需人工干预，MP 靠社区协作突破（R0 p1523）。</w:t>
      </w:r>
    </w:p>
    <w:p>
      <w:pPr>
        <w:spacing w:line="360" w:lineRule="auto"/>
        <w:ind w:left="420"/>
      </w:pPr>
      <w:r>
        <w:rPr>
          <w:rFonts w:ascii="Times New Roman" w:hAnsi="Times New Roman" w:eastAsia="宋体"/>
          <w:b w:val="0"/>
          <w:sz w:val="24"/>
        </w:rPr>
        <w:t xml:space="preserve">4. </w:t>
      </w:r>
      <w:r>
        <w:rPr>
          <w:rFonts w:ascii="Times New Roman" w:hAnsi="Times New Roman" w:eastAsia="宋体"/>
          <w:b/>
          <w:sz w:val="24"/>
        </w:rPr>
        <w:t>精度-广度权衡</w:t>
      </w:r>
      <w:r>
        <w:rPr>
          <w:rFonts w:ascii="Times New Roman" w:hAnsi="Times New Roman" w:eastAsia="宋体"/>
          <w:b w:val="0"/>
          <w:sz w:val="24"/>
        </w:rPr>
        <w:t>：GGA 快但局域态不准，混合泛函等更准但贵数个量级（R0 p1527）。</w:t>
      </w:r>
    </w:p>
    <w:p/>
    <w:p>
      <w:r>
        <w:br w:type="page"/>
      </w:r>
    </w:p>
    <w:p>
      <w:pPr>
        <w:pStyle w:val="2"/>
        <w:pageBreakBefore w:val="0"/>
      </w:pPr>
      <w:r>
        <w:rPr>
          <w:rFonts w:ascii="Times New Roman" w:hAnsi="Times New Roman" w:eastAsia="宋体"/>
          <w:b/>
          <w:sz w:val="44"/>
        </w:rPr>
        <w:t>5. 可借鉴点</w:t>
      </w:r>
    </w:p>
    <w:p>
      <w:pPr>
        <w:spacing w:line="360" w:lineRule="auto"/>
        <w:ind w:left="420"/>
      </w:pPr>
      <w:r>
        <w:rPr>
          <w:rFonts w:ascii="Times New Roman" w:hAnsi="Times New Roman" w:eastAsia="宋体"/>
          <w:b w:val="0"/>
          <w:sz w:val="24"/>
        </w:rPr>
        <w:t xml:space="preserve">1. </w:t>
      </w:r>
      <w:r>
        <w:rPr>
          <w:rFonts w:ascii="Times New Roman" w:hAnsi="Times New Roman" w:eastAsia="宋体"/>
          <w:b w:val="0"/>
          <w:sz w:val="24"/>
        </w:rPr>
        <w:t>毕设相稳定性判据与数据可直接取自 MP（energy above hull、凸包、r2SCAN 形成能），并注意其 GGA/r2SCAN 混合方案（R0 p1523–1524）。</w:t>
      </w:r>
    </w:p>
    <w:p>
      <w:pPr>
        <w:spacing w:line="360" w:lineRule="auto"/>
        <w:ind w:left="420"/>
      </w:pPr>
      <w:r>
        <w:rPr>
          <w:rFonts w:ascii="Times New Roman" w:hAnsi="Times New Roman" w:eastAsia="宋体"/>
          <w:b w:val="0"/>
          <w:sz w:val="24"/>
        </w:rPr>
        <w:t xml:space="preserve">2. </w:t>
      </w:r>
      <w:r>
        <w:rPr>
          <w:rFonts w:ascii="Times New Roman" w:hAnsi="Times New Roman" w:eastAsia="宋体"/>
          <w:b w:val="0"/>
          <w:sz w:val="24"/>
        </w:rPr>
        <w:t>用 pymatgen + atomate2 + crystal_toolkit 搭建自己的"生成→弛豫→判稳"流水线，并可把 DFT 换成 M3GNet/CHGNet 等 ML 势（R0 p1529）。</w:t>
      </w:r>
    </w:p>
    <w:p>
      <w:pPr>
        <w:spacing w:line="360" w:lineRule="auto"/>
        <w:ind w:left="420"/>
      </w:pPr>
      <w:r>
        <w:rPr>
          <w:rFonts w:ascii="Times New Roman" w:hAnsi="Times New Roman" w:eastAsia="宋体"/>
          <w:b w:val="0"/>
          <w:sz w:val="24"/>
        </w:rPr>
        <w:t xml:space="preserve">3. </w:t>
      </w:r>
      <w:r>
        <w:rPr>
          <w:rFonts w:ascii="Times New Roman" w:hAnsi="Times New Roman" w:eastAsia="宋体"/>
          <w:b w:val="0"/>
          <w:sz w:val="24"/>
        </w:rPr>
        <w:t>学习 MP 的"性质条目数 + 用户数"双增长图（Fig. 1），理解数据库深度与广度的工程取舍（R2）。</w:t>
      </w:r>
    </w:p>
    <w:p/>
    <w:p>
      <w:r>
        <w:br w:type="page"/>
      </w:r>
    </w:p>
    <w:p>
      <w:pPr>
        <w:pStyle w:val="2"/>
        <w:pageBreakBefore w:val="0"/>
      </w:pPr>
      <w:r>
        <w:rPr>
          <w:rFonts w:ascii="Times New Roman" w:hAnsi="Times New Roman" w:eastAsia="宋体"/>
          <w:b/>
          <w:sz w:val="44"/>
        </w:rPr>
        <w:t>6. 延伸思考</w:t>
      </w:r>
    </w:p>
    <w:p>
      <w:pPr>
        <w:spacing w:line="360" w:lineRule="auto"/>
        <w:ind w:left="420"/>
      </w:pPr>
      <w:r>
        <w:rPr>
          <w:rFonts w:ascii="Times New Roman" w:hAnsi="Times New Roman" w:eastAsia="宋体"/>
          <w:b w:val="0"/>
          <w:sz w:val="24"/>
        </w:rPr>
        <w:t xml:space="preserve">1. </w:t>
      </w:r>
      <w:r>
        <w:rPr>
          <w:rFonts w:ascii="Times New Roman" w:hAnsi="Times New Roman" w:eastAsia="宋体"/>
          <w:b w:val="0"/>
          <w:sz w:val="24"/>
        </w:rPr>
        <w:t>本文把"ML 势需补充亚稳/非平衡数据"作为明确路线（p1528），与课题 47 研究相稳定性（本质是亚稳性谱系）高度契合：亚稳数据正是 Sun 2016 亚稳性尺度与 Kaplan 2025 PES 数据集的关注点（R2）。</w:t>
      </w:r>
    </w:p>
    <w:p>
      <w:pPr>
        <w:spacing w:line="360" w:lineRule="auto"/>
        <w:ind w:left="420"/>
      </w:pPr>
      <w:r>
        <w:rPr>
          <w:rFonts w:ascii="Times New Roman" w:hAnsi="Times New Roman" w:eastAsia="宋体"/>
          <w:b w:val="0"/>
          <w:sz w:val="24"/>
        </w:rPr>
        <w:t xml:space="preserve">2. </w:t>
      </w:r>
      <w:r>
        <w:rPr>
          <w:rFonts w:ascii="Times New Roman" w:hAnsi="Times New Roman" w:eastAsia="宋体"/>
          <w:b w:val="0"/>
          <w:sz w:val="24"/>
        </w:rPr>
        <w:t>MP 的 r2SCAN 数据升级意味着判稳参照本身在演进，毕设需注意所用 MP 版本（legacy vs next-gen）对能量参照的影响（R2）。</w:t>
      </w:r>
    </w:p>
    <w:p>
      <w:pPr>
        <w:spacing w:line="360" w:lineRule="auto"/>
        <w:ind w:left="420"/>
      </w:pPr>
      <w:r>
        <w:rPr>
          <w:rFonts w:ascii="Times New Roman" w:hAnsi="Times New Roman" w:eastAsia="宋体"/>
          <w:b w:val="0"/>
          <w:sz w:val="24"/>
        </w:rPr>
        <w:t xml:space="preserve">3. </w:t>
      </w:r>
      <w:r>
        <w:rPr>
          <w:rFonts w:ascii="Times New Roman" w:hAnsi="Times New Roman" w:eastAsia="宋体"/>
          <w:b w:val="0"/>
          <w:sz w:val="24"/>
        </w:rPr>
        <w:t>作为 Perspective，本文无原始实验数据，所有数值均为对 MP 平台的自述统计，引用时宜以"MP 自报"表述（R2）。</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报告完 · 证据优先（R0/R1/R2 分级，结论可回溯至 PDF 页码/章节）</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