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文献精读报告：A Universal Graph Deep Learning Interatomic Potential for the Periodic Table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：Chi Chen &amp; Shyue Ping Ong（University of California San Diego, NanoEngineering 系）｜《Nature Computational Science》2022 年发表（本 PDF 为 arXiv 预印本 arXiv:2202.02450v2，14 Aug 2022，正文页码即 arXiv 版页码）｜精读日期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一句话定位：本文提出 </w:t>
      </w:r>
      <w:r>
        <w:rPr>
          <w:rFonts w:ascii="Times New Roman" w:hAnsi="Times New Roman" w:eastAsia="宋体"/>
          <w:b/>
          <w:sz w:val="24"/>
        </w:rPr>
        <w:t>M3GNet（Materials Graph with three-body interactions Neural Network，三体相互作用的材料图神经网络）</w:t>
      </w:r>
      <w:r>
        <w:rPr>
          <w:rFonts w:ascii="Times New Roman" w:hAnsi="Times New Roman" w:eastAsia="宋体"/>
          <w:b w:val="0"/>
          <w:sz w:val="24"/>
        </w:rPr>
        <w:t>，用 Materials Project 十年结构弛豫积累的"势能面（PES）中间态数据"训练出覆盖周期表 89 种元素的</w:t>
      </w:r>
      <w:r>
        <w:rPr>
          <w:rFonts w:ascii="Times New Roman" w:hAnsi="Times New Roman" w:eastAsia="宋体"/>
          <w:b/>
          <w:sz w:val="24"/>
        </w:rPr>
        <w:t>通用机器学习原子间势（universal ML interatomic potential, MLIP）</w:t>
      </w:r>
      <w:r>
        <w:rPr>
          <w:rFonts w:ascii="Times New Roman" w:hAnsi="Times New Roman" w:eastAsia="宋体"/>
          <w:b w:val="0"/>
          <w:sz w:val="24"/>
        </w:rPr>
        <w:t>，并展示了其加速新材料发现的能力（R0，摘要，p1）。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核心内容：把传统原子间势的"多体（n-body）相互作用"思想与图神经网络结合，显式引入三体角度项；以能量+力+应力三个物理量联合训练（R0，p2–3）。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主要结论：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M3GNet-EFS 模型达到能量 MAE 0.035 eV/atom、力 MAE 0.072 eV/Å、应力 MAE 0.41 GPa（R0，p9）。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在约 3166 万个假想晶体中筛选出约 185 万个"相对 Materials Project 凸包（convex hull）预测稳定"的候选；取能量最低 2000 个做 DFT 验证，其中 1578 个 DFT 稳定（R0，摘要 p1、p16–17）。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演示了"MLIP 弛豫 → 相图/凸包稳定性判断"的完整发现流水线，M3GNet 弛豫可把初始结构直接预测的能量误差从 0.169 降到 0.035 eV/atom（R0，p12–13）。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本文是</w:t>
      </w:r>
      <w:r>
        <w:rPr>
          <w:rFonts w:ascii="Times New Roman" w:hAnsi="Times New Roman" w:eastAsia="宋体"/>
          <w:b/>
          <w:sz w:val="24"/>
        </w:rPr>
        <w:t>课题 47（MLIP 相稳定性）方法论的"开山之作"与直接母本</w:t>
      </w:r>
      <w:r>
        <w:rPr>
          <w:rFonts w:ascii="Times New Roman" w:hAnsi="Times New Roman" w:eastAsia="宋体"/>
          <w:b w:val="0"/>
          <w:sz w:val="24"/>
        </w:rPr>
        <w:t>：它完整示范了"生成候选结构 → 通用 MLIP 快速弛豫 → 以 Materials Project 凸包为参照判断相稳定性 → DFT 复核"的流水线，与课题 47 描述的"生成模型 → 通用 MLIP 弛豫 → 相图热力学验证 → Materials Project 对照"逐环节对应。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可借鉴内容</w:t>
      </w:r>
      <w:r>
        <w:rPr>
          <w:rFonts w:ascii="Times New Roman" w:hAnsi="Times New Roman" w:eastAsia="宋体"/>
          <w:b w:val="0"/>
          <w:sz w:val="24"/>
        </w:rPr>
        <w:t xml:space="preserve">：①"能量+力+应力"三者联合训练的必要性（仅能量训练会因导数误差放大而失效，R0 p9）——这是选择/自训 MLIP 时的关键教训；②用 </w:t>
      </w:r>
      <w:r>
        <w:rPr>
          <w:rFonts w:ascii="Times New Roman" w:hAnsi="Times New Roman" w:eastAsia="宋体"/>
          <w:b/>
          <w:sz w:val="24"/>
        </w:rPr>
        <w:t>energy above hull（Ehull，距凸包能量距离）</w:t>
      </w:r>
      <w:r>
        <w:rPr>
          <w:rFonts w:ascii="Times New Roman" w:hAnsi="Times New Roman" w:eastAsia="宋体"/>
          <w:b w:val="0"/>
          <w:sz w:val="24"/>
        </w:rPr>
        <w:t xml:space="preserve"> 作为相稳定性判据，并以 0.05–0.1 eV/atom 为"可合成"阈值（R0 p16）；③M3GNet 弛豫作为 DFT 的预弛豫能把 DFT 时间降到约 1/3（R0 p17）。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对 7 志愿整体</w:t>
      </w:r>
      <w:r>
        <w:rPr>
          <w:rFonts w:ascii="Times New Roman" w:hAnsi="Times New Roman" w:eastAsia="宋体"/>
          <w:b w:val="0"/>
          <w:sz w:val="24"/>
        </w:rPr>
        <w:t>：M3GNet 是后续 MACE-MP-0、DPA4、TensorNet、MatGL 等对比/继任工作的基准；其 MD 应用（Li3YCl6 锂超离子导体电导率，p18）还直接桥接了课题 23/24/50 的卤化物与硫化物 SSE 研究。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背景与动机（p1–3）</w:t>
      </w:r>
      <w:r>
        <w:rPr>
          <w:rFonts w:ascii="Times New Roman" w:hAnsi="Times New Roman" w:eastAsia="宋体"/>
          <w:b w:val="0"/>
          <w:sz w:val="24"/>
        </w:rPr>
        <w:t>：现有原子间势要么只拟合极窄化学体系（单元素或 4–5 元），要么如 AMBER/UFF 只面向分子/有机体系；ML-IAP 虽有突破但无跨全周期表、适用所有晶体类型的工作（R0 p2）。作者指出 Materials Project 等数据库的中间弛豫态数据（能量/力/应力）长期被忽视，本文正是利用这批数据（R0 p2–3）。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方法：Materials Graphs with Many-Body Interactions（p3–6）</w:t>
      </w:r>
      <w:r>
        <w:rPr>
          <w:rFonts w:ascii="Times New Roman" w:hAnsi="Times New Roman" w:eastAsia="宋体"/>
          <w:b w:val="0"/>
          <w:sz w:val="24"/>
        </w:rPr>
        <w:t>：图 G=(V,E,X,M,u)，新增原子坐标 X 与晶格矩阵 M 以支持对力和应力做自动微分。借鉴 Tersoff 键级势思想，在更新边 e_ij 时考虑原子 i 邻域内所有 n−2 个邻居组合，引入三体角相互作用；角度项用球贝塞尔函数 + 球谐函数基展开（Klicpera 等人方案）（R0 p4–5）。径向截断 5 Å，三体截断 4 Å（R0，Methods p22）。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数据集 MPF.2021.2.8（p8–9）</w:t>
      </w:r>
      <w:r>
        <w:rPr>
          <w:rFonts w:ascii="Times New Roman" w:hAnsi="Times New Roman" w:eastAsia="宋体"/>
          <w:b w:val="0"/>
          <w:sz w:val="24"/>
        </w:rPr>
        <w:t>：共约 18.7 万能量、1600 万力、160 万应力分量，覆盖 89 元素，能量范围约 −28.7~49.6 eV/atom；按"材料"而非"数据点"做 90/5/5 划分，做三次独立划分（R0 p8–9）。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训练结果与验证（p9–13）</w:t>
      </w:r>
      <w:r>
        <w:rPr>
          <w:rFonts w:ascii="Times New Roman" w:hAnsi="Times New Roman" w:eastAsia="宋体"/>
          <w:b w:val="0"/>
          <w:sz w:val="24"/>
        </w:rPr>
        <w:t>：只训能量（M3GNet-E）对力/应力预测失败，M3GNet-EFS 的应力 MAE 约为 EF 的一半——结论是"必须三者联合训练"（R0 p9）。最终模型 50% 数据的能量/力/应力误差分别 &lt;0.01 eV/atom、0.033 eV/Å、0.042 GPa（R0 p10）。外推验证：SiO₂ 多晶型声子谱与 DOS 定量吻合（p10）；1521 个声子 DOS 中心 MAE 44.2 cm⁻¹，经 31.6 cm⁻¹ 常数平移修正后降至 28.8 cm⁻¹（优于某声子峰位预测模型的 36.9 cm⁻¹）（R0 p12）。弹性上体积模量 R²=0.757 尚可，剪切模量 R² 仅 0.134（p12）。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结构弛豫验证（p12–13）</w:t>
      </w:r>
      <w:r>
        <w:rPr>
          <w:rFonts w:ascii="Times New Roman" w:hAnsi="Times New Roman" w:eastAsia="宋体"/>
          <w:b w:val="0"/>
          <w:sz w:val="24"/>
        </w:rPr>
        <w:t>：对 3140 个测试材料做 M3GNet 弛豫，体积误差中位数从 2.4% 降到 0.6%，5% 分位从 22.2% 降到 6.6%；直接对未弛豫结构预测能量 MAE 0.169 eV/atom，M3GNet 弛豫后降到 0.035 eV/atom——而 ICSD 中 90% 无机晶体的 Ehull &lt;0.067 eV/atom，说明原始误差不足以判稳（R0 p12–13）。案例 K57Se34（mp-685089）M3GNet 弛豫在单核笔记本约 22 秒完成，DFT 原计算在 32 核耗时 15 小时（R0 p13）。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6. 新材料发现（p14–17）</w:t>
      </w:r>
      <w:r>
        <w:rPr>
          <w:rFonts w:ascii="Times New Roman" w:hAnsi="Times New Roman" w:eastAsia="宋体"/>
          <w:b w:val="0"/>
          <w:sz w:val="24"/>
        </w:rPr>
        <w:t>：对 2019 ICSD 的 5283 个结构原型做等价位离子替换，生成 31,664,858 个候选（&gt; MP 晶体数 200 倍）；用 M3GNet 弛豫并算 Ehull-m，1,849,096 个 &lt;0.001 eV/atom（R0 p14–15）。以 Matbench 训练的同架构形成能模型剔除 Ehull-m 与 Ehull-f 差 &gt;0.2 eV/atom 的高不确定样本（剔除 13.1%）（p16）。取 top-1000 全化学与 top-1000 氧化物做 DFT 复核：全化学中 999 个 Ehull-dft&lt;0.001 eV/atom 且均不在 MP 库；氧化物按阈值 0.001/0.05/0.1 eV/atom 分别有 579/826/935 个可合成（p16–17）。对 1578 个 DFT 稳定材料做声子动力学稳定性评估，328 个无虚频（p17）。发现率在 Ehull-m 阈值 0.5 附近仍接近 1.0，严格阈值 0.001 时为 0.31（p17）。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7. 讨论（p18–20）</w:t>
      </w:r>
      <w:r>
        <w:rPr>
          <w:rFonts w:ascii="Times New Roman" w:hAnsi="Times New Roman" w:eastAsia="宋体"/>
          <w:b w:val="0"/>
          <w:sz w:val="24"/>
        </w:rPr>
        <w:t>：M3GNet 可做 MD（Li3YCl6 电导率/活化能与 AIMD 一致）、可作 USPEX/CALYPSO 演化算法与 CDVAE 生成模型的 surrogate（p18–19）。局限：训练数据来自收敛较松的 MP 弛豫，理想是单点、高收敛 DFT；可用主动学习闭环改进（p19）。框架还可迁移到分子力场（MD17 上优于 EANN、接近消息传递/等变网络）与 Matbench 性质预测（p20）。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导数误差放大</w:t>
      </w:r>
      <w:r>
        <w:rPr>
          <w:rFonts w:ascii="Times New Roman" w:hAnsi="Times New Roman" w:eastAsia="宋体"/>
          <w:b w:val="0"/>
          <w:sz w:val="24"/>
        </w:rPr>
        <w:t>：仅用能量训练导致力/应力预测失败，必须多目标联合训练（R0 p9）。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应力预测难度</w:t>
      </w:r>
      <w:r>
        <w:rPr>
          <w:rFonts w:ascii="Times New Roman" w:hAnsi="Times New Roman" w:eastAsia="宋体"/>
          <w:b w:val="0"/>
          <w:sz w:val="24"/>
        </w:rPr>
        <w:t>：不显式纳入应力训练，应力 MAE 约差一倍，影响变胞弛豫与 NpT-MD（R0 p9）。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剪切模量/德拜温度预测偏差大</w:t>
      </w:r>
      <w:r>
        <w:rPr>
          <w:rFonts w:ascii="Times New Roman" w:hAnsi="Times New Roman" w:eastAsia="宋体"/>
          <w:b w:val="0"/>
          <w:sz w:val="24"/>
        </w:rPr>
        <w:t>（R²=0.134），说明对某些高阶弹性性质外推不可靠（R0 p12）。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外推不确定性</w:t>
      </w:r>
      <w:r>
        <w:rPr>
          <w:rFonts w:ascii="Times New Roman" w:hAnsi="Times New Roman" w:eastAsia="宋体"/>
          <w:b w:val="0"/>
          <w:sz w:val="24"/>
        </w:rPr>
        <w:t>：候选空间 29.5 万个化学体系 vs MP 约 4.7 万体系，存在大量外推（如 F-Fe-Se-W 等未见于训练集），需用不确定性过滤（R0 p19–20）。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判稳标准与阈值：</w:t>
      </w:r>
      <w:r>
        <w:rPr>
          <w:rFonts w:ascii="Times New Roman" w:hAnsi="Times New Roman" w:eastAsia="宋体"/>
          <w:b/>
          <w:sz w:val="24"/>
        </w:rPr>
        <w:t>energy above hull + 0.05–0.1 eV/atom 可合成阈值</w:t>
      </w:r>
      <w:r>
        <w:rPr>
          <w:rFonts w:ascii="Times New Roman" w:hAnsi="Times New Roman" w:eastAsia="宋体"/>
          <w:b w:val="0"/>
          <w:sz w:val="24"/>
        </w:rPr>
        <w:t>，可直接用于毕设相稳定性判定（R0 p16）。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"M3GNet 弛豫 → DFT 复核"的分层策略与发现率评估方法，可作为毕设流程模板（R0 p17）。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多目标（E+F+S）训练与"按材料划分"的数据集切分，是训练/微调 MLIP 的实用经验（R0 p9、p8–9）。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 w:val="0"/>
          <w:sz w:val="24"/>
        </w:rPr>
        <w:t>用声子虚频做动力学稳定性二次筛选（R0 p17）。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M3GNet 仅用三体项就取得好效果，说明对晶体相稳定性判断，三体角信息已能捕获大部分配位/角度化学，这对毕设选择模型复杂度有指导意义（R2）。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本文把生成结构（离子替换）与 MLIP 判稳结合，但课题 47 更强调"生成模型"（如 MatterGen/CDVAE 类），Zeni 2025 生成模型 + 本文判稳流水线的组合正是课题核心（R2）。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未来方向（高收敛单点 DFT 数据 + 主动学习）在后续 MACE-MP-0、DPA4、Kaplan PES 数据集中得到落实，建议串联阅读（R2）。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