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文献精读报告：Materials Graph Library (MatGL), an open-source graph deep learning library for materials science and chemistry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编制日期：2026年08月21日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：Tsz Wai Ko, Bowen Deng, Marcel Nassar, …, Gerbrand Ceder, Santiago Miret &amp; Shyue Ping Ong（通讯 t1ko@ucsd.edu / ongsp@ucsd.edu）｜《npj Computational Materials》(2025) 11:253（Article）｜DOI: 10.1038/s41524-025-01742-y｜精读日期 2026-08-21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证据分级：R0=原文事实（附页码/章节锚点）｜R1=外部背景知识｜R2=推断/评价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一句话定位：本文介绍 </w:t>
      </w:r>
      <w:r>
        <w:rPr>
          <w:rFonts w:ascii="Times New Roman" w:hAnsi="Times New Roman" w:eastAsia="宋体"/>
          <w:b/>
          <w:sz w:val="24"/>
        </w:rPr>
        <w:t>MatGL（Materials Graph Library）</w:t>
      </w:r>
      <w:r>
        <w:rPr>
          <w:rFonts w:ascii="Times New Roman" w:hAnsi="Times New Roman" w:eastAsia="宋体"/>
          <w:b w:val="0"/>
          <w:sz w:val="24"/>
        </w:rPr>
        <w:t>——一个构建在 DGL + PyTorch + pymatgen + ASE 之上的开源图深度学习库，把 M3GNet、MEGNet、CHGNet、TensorNet、SO3Net 等主流材料 GNN 架构与预训练"基础势（foundation potentials, FPs）"统一到同一平台（R0，摘要 p1）。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核心内容：提供"开箱即用"的性质预测模型与覆盖全周期表的预训练 MLIP，配套数据管线（MGLDataset）、PyTorch Lightning 训练模块、以及 LAMMPS/ASE 原子模拟接口（R0，p1–2）。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主要结论：在同一设定下基准对比表明——性质预测上 TensorNet/SO3Net 精度最高、MEGNet 最差；MLIP 上 CHGNet 在 MP 弛豫数据上优于 M3GNet 与 TensorNet（力/应力噪声使等变模型训练更难）；用 MatPES 数据训练的 TensorNet-MatPES-PBE-v2025.1 在表面能、声子、振动熵、非晶 Li₃PS₄ 等外推任务上接近 DFT/定制势（R0，p4–6）。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MatGL 是课题 47 的</w:t>
      </w:r>
      <w:r>
        <w:rPr>
          <w:rFonts w:ascii="Times New Roman" w:hAnsi="Times New Roman" w:eastAsia="宋体"/>
          <w:b/>
          <w:sz w:val="24"/>
        </w:rPr>
        <w:t>"落地工具箱"</w:t>
      </w:r>
      <w:r>
        <w:rPr>
          <w:rFonts w:ascii="Times New Roman" w:hAnsi="Times New Roman" w:eastAsia="宋体"/>
          <w:b w:val="0"/>
          <w:sz w:val="24"/>
        </w:rPr>
        <w:t>：课题流水线里"通用 MLIP 弛豫"可直接调用 MatGL 的预训练 FPs 完成，无需从零训练。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直接可借鉴</w:t>
      </w:r>
      <w:r>
        <w:rPr>
          <w:rFonts w:ascii="Times New Roman" w:hAnsi="Times New Roman" w:eastAsia="宋体"/>
          <w:b w:val="0"/>
          <w:sz w:val="24"/>
        </w:rPr>
        <w:t>：①MatGL 内置 M3GNet/TensorNet/CHGNet 等预训练 FP，覆盖全周期表，能直接做结构弛豫、声子、弹性与 MD（R0，p1–2）；②其 TensorNet-MatPES-PBE-v2025.1 是训练在 MatPES（Kaplan et al.）数据上的通用势，表面能/声子/非晶结构外推表现好——是课题 47 判稳弛豫的推荐候选（R0，p6）；③M3GNet/TensorNet 用 MPF 数据训练的表面能外推差，印证"训练数据质量决定外推能力"，判稳时要注意模型来源（R0，p6）。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对 7 志愿整体</w:t>
      </w:r>
      <w:r>
        <w:rPr>
          <w:rFonts w:ascii="Times New Roman" w:hAnsi="Times New Roman" w:eastAsia="宋体"/>
          <w:b w:val="0"/>
          <w:sz w:val="24"/>
        </w:rPr>
        <w:t>：文中直接用非晶 Li₃PS₄（RDF 对比 DeepMD）做基准，正是课题 24（Li₃PS₄ 离子传导）的对象，说明 MatGL 的 FP 可直接复用于硫化物 SSE 研究（R0，p6）。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1. 背景（p1–2）</w:t>
      </w:r>
      <w:r>
        <w:rPr>
          <w:rFonts w:ascii="Times New Roman" w:hAnsi="Times New Roman" w:eastAsia="宋体"/>
          <w:b w:val="0"/>
          <w:sz w:val="24"/>
        </w:rPr>
        <w:t>：材料 GNN 天然适配原子图表示；主流实现多为单架构、基于 PyTorch-Geometric/TensorFlow/JAX，而 DGL 在大图训练上内存与速度更优、支持更大 batch 与更长尺度模拟（R0 p1–2）。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2. 架构清单（p3–4，Table 1）</w:t>
      </w:r>
      <w:r>
        <w:rPr>
          <w:rFonts w:ascii="Times New Roman" w:hAnsi="Times New Roman" w:eastAsia="宋体"/>
          <w:b w:val="0"/>
          <w:sz w:val="24"/>
        </w:rPr>
        <w:t>：不变模型 MEGNet（全局状态）、M3GNet（三体）、CHGNet（磁矩正则化）；等变模型 TensorNet（笛卡尔张量）、SO3Net（球谐 + Clebsch–Gordan）。M3GNet/TensorNet/SO3Net 可做性质预测与 MLIP，CHGNet 仅 MLIP（R0 p3–4）。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 性质基准（p4，Table 2–3）</w:t>
      </w:r>
      <w:r>
        <w:rPr>
          <w:rFonts w:ascii="Times New Roman" w:hAnsi="Times New Roman" w:eastAsia="宋体"/>
          <w:b w:val="0"/>
          <w:sz w:val="24"/>
        </w:rPr>
        <w:t>：QM9 上 MEGNet 误差最高（自由能验证/测试 0.037 eV），其余模型 0.025–0.027 eV 相当（p4）。Matbench 四性质（形成能、log K_VRH、log G_VRH、带隙）：MEGNet 形成能测试 0.037 eV/atom，M3GNet 0.020、TensorNet 0.024、SO3Net 0.022，约降 40%（p4–5）。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4. PES 基准与基础势（p5，Table 5–6）</w:t>
      </w:r>
      <w:r>
        <w:rPr>
          <w:rFonts w:ascii="Times New Roman" w:hAnsi="Times New Roman" w:eastAsia="宋体"/>
          <w:b w:val="0"/>
          <w:sz w:val="24"/>
        </w:rPr>
        <w:t>：ANI-1x/COMP6 上 SO3Net 力/能最优、TensorNet 大幅降误（p5）。用 MPF.2021.2.8 子集（185,877 结构 + 89 孤立原子）训 FP：CHGNet 在能量/力/应力上普遍优于 M3GNet、明显优于 TensorNet——因 CHGNet 有额外的角-边消息传递，而 MP 弛豫数据的 DFT 收敛较松、力/应力噪声大，对等变模型训练尤其不利（p5）。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5. 晶体弛豫与性质验证（p5–6）</w:t>
      </w:r>
      <w:r>
        <w:rPr>
          <w:rFonts w:ascii="Times New Roman" w:hAnsi="Times New Roman" w:eastAsia="宋体"/>
          <w:b w:val="0"/>
          <w:sz w:val="24"/>
        </w:rPr>
        <w:t>：二元晶体弛豫后，CHGNet 约 60% 结构能量差 &lt;25 meV/atom，与 M3GNet 相当、比 TensorNet 好 10%；体模量各 FP R²≈0.8、MAE≈20 GPa；300 K 谐波热容与 Phonondb（PBEsol）符合良好（p5–6）。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6. MatPES 训练的 TensorNet（p6）</w:t>
      </w:r>
      <w:r>
        <w:rPr>
          <w:rFonts w:ascii="Times New Roman" w:hAnsi="Times New Roman" w:eastAsia="宋体"/>
          <w:b w:val="0"/>
          <w:sz w:val="24"/>
        </w:rPr>
        <w:t>：TensorNet-MatPES-PBE-v2025.1 在 fcc Cu/bcc Mo 表面能（多在 0.1 J/m² 内）、Si 与 Ga₂O₃ 声子色散与振动熵、非晶 Li₃PS₄ 结构上都与 DFT/SNAP/GAP/DeepMD 良好吻合；而 TensorNet-MPF 表面能外推明显差（MPF 数据缺陷，见 Kaplan et al.）（R0 p6）。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7. 可扩展性（p6）</w:t>
      </w:r>
      <w:r>
        <w:rPr>
          <w:rFonts w:ascii="Times New Roman" w:hAnsi="Times New Roman" w:eastAsia="宋体"/>
          <w:b w:val="0"/>
          <w:sz w:val="24"/>
        </w:rPr>
        <w:t>：SO3Net 在 &gt;100 原子簇上明显更慢，TensorNet 最高效（R0 p6）。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数据噪声 vs 等变模型</w:t>
      </w:r>
      <w:r>
        <w:rPr>
          <w:rFonts w:ascii="Times New Roman" w:hAnsi="Times New Roman" w:eastAsia="宋体"/>
          <w:b w:val="0"/>
          <w:sz w:val="24"/>
        </w:rPr>
        <w:t>：MP 弛豫数据力/应力噪声大，等变模型（TensorNet/SO3Net）对噪声敏感，反而被 CHGNet 超过——提示"更复杂的等变模型 ≠ 在脏数据上更好"（R0 p5）。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训练数据质量决定外推</w:t>
      </w:r>
      <w:r>
        <w:rPr>
          <w:rFonts w:ascii="Times New Roman" w:hAnsi="Times New Roman" w:eastAsia="宋体"/>
          <w:b w:val="0"/>
          <w:sz w:val="24"/>
        </w:rPr>
        <w:t>：MPF 数据训练的表面能外推失效，是判稳弛豫选模型的关键风险（R0 p6）。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距离-only GNN 的表示不足</w:t>
      </w:r>
      <w:r>
        <w:rPr>
          <w:rFonts w:ascii="Times New Roman" w:hAnsi="Times New Roman" w:eastAsia="宋体"/>
          <w:b w:val="0"/>
          <w:sz w:val="24"/>
        </w:rPr>
        <w:t>：MEGNet 无法唯一区分原子环境，精度垫底（R0 p4）。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架构-规模权衡</w:t>
      </w:r>
      <w:r>
        <w:rPr>
          <w:rFonts w:ascii="Times New Roman" w:hAnsi="Times New Roman" w:eastAsia="宋体"/>
          <w:b w:val="0"/>
          <w:sz w:val="24"/>
        </w:rPr>
        <w:t>：SO3Net 精度高但大体系昂贵（R0 p6）。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直接用 MatGL 的预训练 FP（M3GNet/TensorNet-MatPES/CHGNet）做课题 47 的"生成结构 → 快速弛豫"环节，省去自训成本（R0 p1–2）。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选型经验：判稳弛豫优先考虑数据来源干净的 MatPES 训练模型（TensorNet-MatPES），而非 MPF 训练模型（R0 p6）。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用 CrystalNN 结构指纹距离 + 能量差分布（如 &lt;25 meV/atom 占比）作为 MLIP 弛豫质量的可复现评价口径（R0 p5）。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>MatGL 把 M3GNet/CHGNet/TensorNet/SO3Net 纳入同一框架，正好构成课题 47 "MLIP 对比研究"的实验床：可在一套代码里横向比较各通用势对同一批生成结构的判稳一致性（R2）。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>本文明确指出"未来需在结构更多样、电子收敛更严的数据上构建通用 FP"，这一路线由 Kaplan 2025（MatPES）与 DPA4 落地，三篇应串联理解（R2）。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 w:val="0"/>
          <w:sz w:val="24"/>
        </w:rPr>
        <w:t>非晶 Li₃PS₄ 基准把课题 47 的工具链直接打通到课题 24，说明这套 FP 工具可复用于 7 志愿中的多个 SSE 课题（R2）。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分级，结论可回溯至 PDF 页码/章节）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