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文献精读报告：TensorNet: Cartesian Tensor Representations for Efficient Learning of Molecular Potentials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：Guillem Simeon &amp; Gianni De Fabritiis（Universitat Pompeu Fabra / Acellera, Computational Science Laboratory）｜第 37 届 NeurIPS 2023（本 PDF 为 arXiv 预印本 arXiv:2306.06482v2，30 Oct 2023）｜精读日期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一句话定位：本文提出 </w:t>
      </w:r>
      <w:r>
        <w:rPr>
          <w:rFonts w:ascii="Times New Roman" w:hAnsi="Times New Roman" w:eastAsia="宋体"/>
          <w:b/>
          <w:sz w:val="24"/>
        </w:rPr>
        <w:t>TensorNet</w:t>
      </w:r>
      <w:r>
        <w:rPr>
          <w:rFonts w:ascii="Times New Roman" w:hAnsi="Times New Roman" w:eastAsia="宋体"/>
          <w:b w:val="0"/>
          <w:sz w:val="24"/>
        </w:rPr>
        <w:t>，一种用</w:t>
      </w:r>
      <w:r>
        <w:rPr>
          <w:rFonts w:ascii="Times New Roman" w:hAnsi="Times New Roman" w:eastAsia="宋体"/>
          <w:b/>
          <w:sz w:val="24"/>
        </w:rPr>
        <w:t>笛卡尔二阶张量（3×3 矩阵）表示</w:t>
      </w:r>
      <w:r>
        <w:rPr>
          <w:rFonts w:ascii="Times New Roman" w:hAnsi="Times New Roman" w:eastAsia="宋体"/>
          <w:b w:val="0"/>
          <w:sz w:val="24"/>
        </w:rPr>
        <w:t>构建的 O(3) 等变消息传递神经网络（MPNN）势，旨在用更低参数量和计算成本达到球谐张量模型（NequIP、MACE、Allegro）的精度（R0，摘要 p1）。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核心内容：把 rank-2 张量按旋转群不可约分解为标量（迹，1 自由度）+ 向量（反对称部分，3 自由度）+ 张量（对称无迹部分，5 自由度），用 3×3 矩阵乘法做特征混合，避免显式构造多体项与昂贵的 Clebsch–Gordan 张量积（R0，p1–2）。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主要结论：在 QM9 上以 Allegro 23% 的参数量（4.0M vs 17.9M）超越 Allegro/MACE（R0，p7）；在 rMD17 上 2 层模型在 10 个分子中 6 个达到最优、参数量仅 770k（比最小球谐模型少约 70%）（R0，p7–8）；在 SPICE/ANI1x/COMP6 上泛化更好；还能同时预测偶极矩、极化率、化学位移等矢量/张量性质（R0，p8）。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TensorNet 是课题 47 所选 MLIP 谱系中</w:t>
      </w:r>
      <w:r>
        <w:rPr>
          <w:rFonts w:ascii="Times New Roman" w:hAnsi="Times New Roman" w:eastAsia="宋体"/>
          <w:b/>
          <w:sz w:val="24"/>
        </w:rPr>
        <w:t>"效率侧"的关键一环</w:t>
      </w:r>
      <w:r>
        <w:rPr>
          <w:rFonts w:ascii="Times New Roman" w:hAnsi="Times New Roman" w:eastAsia="宋体"/>
          <w:b w:val="0"/>
          <w:sz w:val="24"/>
        </w:rPr>
        <w:t>：它示范了如何用笛卡尔张量替代昂贵的球谐不可约表示，降低 MLIP 的推理成本——这正是"通用 MLIP 弛豫大规模生成结构"这一环节最关心的工程问题。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直接可借鉴</w:t>
      </w:r>
      <w:r>
        <w:rPr>
          <w:rFonts w:ascii="Times New Roman" w:hAnsi="Times New Roman" w:eastAsia="宋体"/>
          <w:b w:val="0"/>
          <w:sz w:val="24"/>
        </w:rPr>
        <w:t>：①"精度相近、参数量降 70–80%、推理更快"的设计思路，说明课题 47 在选 MLIP 做弛豫时存在明显的成本-精度权衡空间（R0，p7–9）；②模型可同时输出标量/矢量/张量（偶极、极化率、屏蔽张量），为把 MLIP 从"能量/力"扩展到"张量性质"提供了模板（R0，p8）。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关键背景连接</w:t>
      </w:r>
      <w:r>
        <w:rPr>
          <w:rFonts w:ascii="Times New Roman" w:hAnsi="Times New Roman" w:eastAsia="宋体"/>
          <w:b w:val="0"/>
          <w:sz w:val="24"/>
        </w:rPr>
        <w:t>：TensorNet 的笛卡尔张量架构被 MatGL（Ko et al. 2025，本任务另一篇）收录为实现之一，并被用作 MatPES 数据集（Kaplan et al. 2025）训练的通用基础势骨干（如 TensorNet-MatPES-PBE-v2025.1）——即本文是"高效等变骨干 → 通用 MLIP"的技术前身。注意它与 DPA4 采用的 SO(2) 卷积（eSCN 谱系）是两条不同的效率路线，不可混同（R1/R2，据 DPA4 原文其骨干为 EMFA SO(2) 卷积，非笛卡尔张量）。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背景（p1–3）</w:t>
      </w:r>
      <w:r>
        <w:rPr>
          <w:rFonts w:ascii="Times New Roman" w:hAnsi="Times New Roman" w:eastAsia="宋体"/>
          <w:b w:val="0"/>
          <w:sz w:val="24"/>
        </w:rPr>
        <w:t>：现有等变模型（NequIP、Allegro、MACE 等）靠高秩球谐不可约表示取得精度，但张量积计算昂贵；低秩笛卡尔（标量/向量）尝试（PaiNN、EGNN、Equivariant Transformer）精度不如球谐模型；MPNN 常需 6 层消息传递（R0 p1–3）。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方法：笛卡尔 rank-2 张量与不可约分解（p2–4）</w:t>
      </w:r>
      <w:r>
        <w:rPr>
          <w:rFonts w:ascii="Times New Roman" w:hAnsi="Times New Roman" w:eastAsia="宋体"/>
          <w:b w:val="0"/>
          <w:sz w:val="24"/>
        </w:rPr>
        <w:t>：任意 rank-2 张量 X 可分解为 I_X（迹/标量，1 dof）+ A_X（反对称，3 dof，按向量变换）+ S_X（对称无迹，5 dof，按 rank-2 张量变换），即 9 维表示约化为 1+3+5 维不可约表示（R0 p2）。用这一分解，模型可分别处理标量、向量、张量，特征混合靠 3×3 矩阵乘积；截断半径 4.5–9 Å；用偶极矩 = 反对称部分 A 求和、极化率 = I+S 求和等输出头直接预测张量性质（R0 p2–4、附录 A.3）。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QM9：化学多样性（p6–7，Table 1）</w:t>
      </w:r>
      <w:r>
        <w:rPr>
          <w:rFonts w:ascii="Times New Roman" w:hAnsi="Times New Roman" w:eastAsia="宋体"/>
          <w:b w:val="0"/>
          <w:sz w:val="24"/>
        </w:rPr>
        <w:t>：预测 U₀/U/H/G 四个能量相关性质，TensorNet（4.0M 参数）在 U₀=3.9、U=3.9、H=4.0 meV 上均优于 Allegro（17.9M）与 MACE，仅用 Allegro 23% 参数量、且不含奇偶（parity）副本与显式多体项（R0 p6–7）。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rMD17：构象多样性（p7–8，Table 2）</w:t>
      </w:r>
      <w:r>
        <w:rPr>
          <w:rFonts w:ascii="Times New Roman" w:hAnsi="Times New Roman" w:eastAsia="宋体"/>
          <w:b w:val="0"/>
          <w:sz w:val="24"/>
        </w:rPr>
        <w:t>：2 层模型在 10 个分子中 6 个能量最优（苯最突出，E 0.02 meV），770k 参数；甲苯用 1 层 535k 即达最优；力误差多数落入球谐模型范围（乙醇、阿司匹林、水杨酸略高）。最小球谐模型约 2.8M 参数，TensorNet 实现 70%（2L）与 80%（1L）的参数削减（R0 p7–8）。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SPICE/ANI1x/COMP6：组成+构象多样性（p7–8）</w:t>
      </w:r>
      <w:r>
        <w:rPr>
          <w:rFonts w:ascii="Times New Roman" w:hAnsi="Times New Roman" w:eastAsia="宋体"/>
          <w:b w:val="0"/>
          <w:sz w:val="24"/>
        </w:rPr>
        <w:t>：轻量 2 层模型"开箱即用"（不调超参），SPICE 上 E MAE 25.0 meV、F 40.7 meV/Å，优于 Equivariant Transformer 的 31.2/49.3；在 COMP6 六个基准上泛化能力普遍更好（R0 p7–8，Table 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乙醇多性质预测（p8，Table 4）</w:t>
      </w:r>
      <w:r>
        <w:rPr>
          <w:rFonts w:ascii="Times New Roman" w:hAnsi="Times New Roman" w:eastAsia="宋体"/>
          <w:b w:val="0"/>
          <w:sz w:val="24"/>
        </w:rPr>
        <w:t>：同时预测能量、力、偶极矩、极化率、化学位移，能量/力误差约为 FieldSchNet/PaiNN 的 1/2 与 1/3（R0 p8）。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消融：等变性与截断（p8–9，Table 5）</w:t>
      </w:r>
      <w:r>
        <w:rPr>
          <w:rFonts w:ascii="Times New Roman" w:hAnsi="Times New Roman" w:eastAsia="宋体"/>
          <w:b w:val="0"/>
          <w:sz w:val="24"/>
        </w:rPr>
        <w:t>：O(3)（含反射）比 SO(3) 精度更高；交互层数对误差影响显著；即便 0 层（纯局域聚合）对阿司匹林的误差仍低于 ANI 与 SchNet（R0 p8–9）。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8. 计算成本（p9，Table 6–7）</w:t>
      </w:r>
      <w:r>
        <w:rPr>
          <w:rFonts w:ascii="Times New Roman" w:hAnsi="Times New Roman" w:eastAsia="宋体"/>
          <w:b w:val="0"/>
          <w:sz w:val="24"/>
        </w:rPr>
        <w:t>：对 ~200 原子内分子，TensorNet 1L/2L 快于或相当 Equivariant Transformer；5807 原子的 Factor IX 上 1L 仍与降层 ET 相当；ANI1x 训练步速在批大小 64 内快于或相当 ET（R0 p9）。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高秩等变性与成本矛盾</w:t>
      </w:r>
      <w:r>
        <w:rPr>
          <w:rFonts w:ascii="Times New Roman" w:hAnsi="Times New Roman" w:eastAsia="宋体"/>
          <w:b w:val="0"/>
          <w:sz w:val="24"/>
        </w:rPr>
        <w:t>：球谐不可约张量积昂贵，是通用 MLIP 规模化的主要瓶颈（R0 p1–2）。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力精度 vs 效率的权衡</w:t>
      </w:r>
      <w:r>
        <w:rPr>
          <w:rFonts w:ascii="Times New Roman" w:hAnsi="Times New Roman" w:eastAsia="宋体"/>
          <w:b w:val="0"/>
          <w:sz w:val="24"/>
        </w:rPr>
        <w:t>：1 层模型力误差升高、落到球谐模型范围之外（乙醇/阿司匹林/水杨酸），说明极致轻量化会牺牲力精度（R0 p7–8）。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大体系扩展性</w:t>
      </w:r>
      <w:r>
        <w:rPr>
          <w:rFonts w:ascii="Times New Roman" w:hAnsi="Times New Roman" w:eastAsia="宋体"/>
          <w:b w:val="0"/>
          <w:sz w:val="24"/>
        </w:rPr>
        <w:t>：2 层模型在数千原子体系显著变慢，需用 1 层或更大截断权衡（R0 p9）。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反射等变性的实现</w:t>
      </w:r>
      <w:r>
        <w:rPr>
          <w:rFonts w:ascii="Times New Roman" w:hAnsi="Times New Roman" w:eastAsia="宋体"/>
          <w:b w:val="0"/>
          <w:sz w:val="24"/>
        </w:rPr>
        <w:t>：O(3) vs SO(3) 需通过矩阵乘积形式的调整实现，且对精度有实质影响（R0 p8–9）。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"用笛卡尔 rank-2 张量 + 矩阵乘积"替代球谐张量积的降本思路，是毕设评估/选择 MLIP 时的核心工程判据（R0 p2、p9）。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参数量-精度对照（4.0M/770k/535k 达到 SOTA）说明"更小模型 + 更多数据"可能优于"更大模型"，对课题 47 的训练预算规划有参考价值（R0 p6–8）。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多性质联合输出（偶极/极化率/屏蔽张量）的架构，可作为把 MLIP 扩展用于"性质筛选"的起点（R0 p8）。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TensorNet 聚焦分子体系，但其笛卡尔张量表示对晶体/周期体系同样适用（坐标等变 + 晶格应力张量）；MatGL 已把它用于 MatPES 训练的通用基础势。它与 DPA4 的 SO(2) 卷积路线各自独立，共同构成"降低等变 MLIP 成本"的两条竞争性解法，毕设选型时宜并置对比（R2）。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本文未直接涉及相稳定性或凸包判稳，其对课题 47 的价值是"效率基础设施"而非"判稳方法"，精读定位应放在流水线算力预算环节（R2）。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