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文献精读报告：Python Materials Genomics (pymatgen): A robust, open-source python library for materials analysis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：Shyue Ping Ong, William Davidson Richards, Anubhav Jain, Geoffroy Hautier, Michael Kocher, …, Gerbrand Ceder｜《Computational Materials Science》68 (2013) 314–319｜DOI: 10.1016/j.commatsci.2012.10.028（2012-07-28 收稿，2012-12-08 在线）｜精读日期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一句话定位：本文是 </w:t>
      </w:r>
      <w:r>
        <w:rPr>
          <w:rFonts w:ascii="Times New Roman" w:hAnsi="Times New Roman" w:eastAsia="宋体"/>
          <w:b/>
          <w:sz w:val="24"/>
        </w:rPr>
        <w:t>pymatgen（Python Materials Genomics）</w:t>
      </w:r>
      <w:r>
        <w:rPr>
          <w:rFonts w:ascii="Times New Roman" w:hAnsi="Times New Roman" w:eastAsia="宋体"/>
          <w:b w:val="0"/>
          <w:sz w:val="24"/>
        </w:rPr>
        <w:t xml:space="preserve"> 库的奠基论文，确立了以 Python 对象为中心、覆盖"结构表示 → 变换 → 热力学/相图分析 → Materials Project API"的开源材料分析范式（R0，摘要 p314）。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核心内容：定义核心对象（Element、Lattice、Structure、Composition、ComputedEntry），提供结构变换、反应能、相图等分析工具，并以 Materials Project 的 RESTful API 打通外部数据（R0，p315–317）。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主要结论：以 Li₄SnS₄ 为例，仅做</w:t>
      </w:r>
      <w:r>
        <w:rPr>
          <w:rFonts w:ascii="Times New Roman" w:hAnsi="Times New Roman" w:eastAsia="宋体"/>
          <w:b/>
          <w:sz w:val="24"/>
        </w:rPr>
        <w:t>一次</w:t>
      </w:r>
      <w:r>
        <w:rPr>
          <w:rFonts w:ascii="Times New Roman" w:hAnsi="Times New Roman" w:eastAsia="宋体"/>
          <w:b w:val="0"/>
          <w:sz w:val="24"/>
        </w:rPr>
        <w:t xml:space="preserve"> DFT 计算 + 调用 MP 的 Li–Sn–S 数据，即可判定其相稳定性（稳定相但 Li 化学势窗口窄、对电极不稳定），把原本需 30+ 个结构计算的相稳定性分析压缩到最低计算开销（R0，p317–318）。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pymatgen 是课题 47 整条流水线的</w:t>
      </w:r>
      <w:r>
        <w:rPr>
          <w:rFonts w:ascii="Times New Roman" w:hAnsi="Times New Roman" w:eastAsia="宋体"/>
          <w:b/>
          <w:sz w:val="24"/>
        </w:rPr>
        <w:t>软件地基</w:t>
      </w:r>
      <w:r>
        <w:rPr>
          <w:rFonts w:ascii="Times New Roman" w:hAnsi="Times New Roman" w:eastAsia="宋体"/>
          <w:b w:val="0"/>
          <w:sz w:val="24"/>
        </w:rPr>
        <w:t>：生成结构的表示、MLIP 弛豫的输入输出、凸包/相图的判稳、以及 Materials Project 对照，几乎每一步都落在 pymatgen 的对象与接口上。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>：①</w:t>
      </w:r>
      <w:r>
        <w:rPr>
          <w:rFonts w:ascii="Consolas" w:hAnsi="Consolas" w:eastAsia="Consolas"/>
          <w:sz w:val="24"/>
          <w:shd w:fill="F0F0F0"/>
        </w:rPr>
        <w:t>phasediagram</w:t>
      </w:r>
      <w:r>
        <w:rPr>
          <w:rFonts w:ascii="Times New Roman" w:hAnsi="Times New Roman" w:eastAsia="宋体"/>
          <w:b w:val="0"/>
          <w:sz w:val="24"/>
        </w:rPr>
        <w:t xml:space="preserve"> 包提供标准组成相图与</w:t>
      </w:r>
      <w:r>
        <w:rPr>
          <w:rFonts w:ascii="Times New Roman" w:hAnsi="Times New Roman" w:eastAsia="宋体"/>
          <w:b/>
          <w:sz w:val="24"/>
        </w:rPr>
        <w:t>巨正则相图</w:t>
      </w:r>
      <w:r>
        <w:rPr>
          <w:rFonts w:ascii="Times New Roman" w:hAnsi="Times New Roman" w:eastAsia="宋体"/>
          <w:b w:val="0"/>
          <w:sz w:val="24"/>
        </w:rPr>
        <w:t>（化学势空间），正是课题 47"相图热力学验证"的实现工具（R0，p317）；②</w:t>
      </w:r>
      <w:r>
        <w:rPr>
          <w:rFonts w:ascii="Consolas" w:hAnsi="Consolas" w:eastAsia="Consolas"/>
          <w:sz w:val="24"/>
          <w:shd w:fill="F0F0F0"/>
        </w:rPr>
        <w:t>entries.compatibility</w:t>
      </w:r>
      <w:r>
        <w:rPr>
          <w:rFonts w:ascii="Times New Roman" w:hAnsi="Times New Roman" w:eastAsia="宋体"/>
          <w:b w:val="0"/>
          <w:sz w:val="24"/>
        </w:rPr>
        <w:t xml:space="preserve"> 的 GGA/GGA+U 混合修正 + O₂/N₂ 气体修正，是判稳能量参照一致性的关键预处理（R0，p316）；③</w:t>
      </w:r>
      <w:r>
        <w:rPr>
          <w:rFonts w:ascii="Consolas" w:hAnsi="Consolas" w:eastAsia="Consolas"/>
          <w:sz w:val="24"/>
          <w:shd w:fill="F0F0F0"/>
        </w:rPr>
        <w:t>ComputedEntry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Consolas"/>
          <w:sz w:val="24"/>
          <w:shd w:fill="F0F0F0"/>
        </w:rPr>
        <w:t>Structure</w:t>
      </w:r>
      <w:r>
        <w:rPr>
          <w:rFonts w:ascii="Times New Roman" w:hAnsi="Times New Roman" w:eastAsia="宋体"/>
          <w:b w:val="0"/>
          <w:sz w:val="24"/>
        </w:rPr>
        <w:t xml:space="preserve"> 对象是"结构 + 能量"的统一容器，MLIP 弛豫结果可直接包装成 Entry 参与凸包计算（R0，p315–316）。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：演示案例 Li₄SnS₄ 正是锂超离子导体（与 Li₄GeS₄ 同构），其"窄 Li 化学势窗口 → 对电极不稳定"的结论，与课题 24（Li₃PS₄）与 50（硫化物 SSE）的电化学稳定性关切一脉相承（R0，p317–318）。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背景（p314）</w:t>
      </w:r>
      <w:r>
        <w:rPr>
          <w:rFonts w:ascii="Times New Roman" w:hAnsi="Times New Roman" w:eastAsia="宋体"/>
          <w:b w:val="0"/>
          <w:sz w:val="24"/>
        </w:rPr>
        <w:t>：Materials Project、AFLOW、CatApp 等并行高通量倡议需要稳健的"计算前设置 + 计算后分析"软件栈（R0 p314）。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库结构（p315–316）</w:t>
      </w:r>
      <w:r>
        <w:rPr>
          <w:rFonts w:ascii="Times New Roman" w:hAnsi="Times New Roman" w:eastAsia="宋体"/>
          <w:b w:val="0"/>
          <w:sz w:val="24"/>
        </w:rPr>
        <w:t xml:space="preserve">：核心包定义 Element（含电负性、原子序数、质量）、Lattice、Site/PeriodicSite、Molecule/Structure、Composition 等对象（p315）；electronic_structure 包含 DOS 与能带对象及绘图（p315）；entries 包定义 </w:t>
      </w:r>
      <w:r>
        <w:rPr>
          <w:rFonts w:ascii="Consolas" w:hAnsi="Consolas" w:eastAsia="Consolas"/>
          <w:sz w:val="24"/>
          <w:shd w:fill="F0F0F0"/>
        </w:rPr>
        <w:t>ComputedEntry</w:t>
      </w:r>
      <w:r>
        <w:rPr>
          <w:rFonts w:ascii="Times New Roman" w:hAnsi="Times New Roman" w:eastAsia="宋体"/>
          <w:b w:val="0"/>
          <w:sz w:val="24"/>
        </w:rPr>
        <w:t xml:space="preserve">（组成 + 能量，来源无关，可接 VASP/ABINIT 等）与 </w:t>
      </w:r>
      <w:r>
        <w:rPr>
          <w:rFonts w:ascii="Consolas" w:hAnsi="Consolas" w:eastAsia="Consolas"/>
          <w:sz w:val="24"/>
          <w:shd w:fill="F0F0F0"/>
        </w:rPr>
        <w:t>ExpEntry</w:t>
      </w:r>
      <w:r>
        <w:rPr>
          <w:rFonts w:ascii="Times New Roman" w:hAnsi="Times New Roman" w:eastAsia="宋体"/>
          <w:b w:val="0"/>
          <w:sz w:val="24"/>
        </w:rPr>
        <w:t>（实验热化学数据）（p315）；io 包支持 CIF、VASP 输入输出、Gaussian、ASE 适配（p315）；serializers 用 JSON 的 to_dict/from_dict 序列化（p315–316）。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化合物生成与结构变换（p316）</w:t>
      </w:r>
      <w:r>
        <w:rPr>
          <w:rFonts w:ascii="Times New Roman" w:hAnsi="Times New Roman" w:eastAsia="宋体"/>
          <w:b w:val="0"/>
          <w:sz w:val="24"/>
        </w:rPr>
        <w:t xml:space="preserve">：transformations 包提供 </w:t>
      </w:r>
      <w:r>
        <w:rPr>
          <w:rFonts w:ascii="Consolas" w:hAnsi="Consolas" w:eastAsia="Consolas"/>
          <w:sz w:val="24"/>
          <w:shd w:fill="F0F0F0"/>
        </w:rPr>
        <w:t>SubstitutionTransformation</w:t>
      </w:r>
      <w:r>
        <w:rPr>
          <w:rFonts w:ascii="Times New Roman" w:hAnsi="Times New Roman" w:eastAsia="宋体"/>
          <w:b w:val="0"/>
          <w:sz w:val="24"/>
        </w:rPr>
        <w:t>（基于 Hautier 数据挖掘替换规则）、元素部分/完全移除、无序结构有序化、超胞/原胞生成；alchemy 包支持高通量化合物生成并记录变换历史（CrystalToolkit 的撤销/重做即基于此）（R0 p316）。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分析工具（p316–317）</w:t>
      </w:r>
      <w:r>
        <w:rPr>
          <w:rFonts w:ascii="Times New Roman" w:hAnsi="Times New Roman" w:eastAsia="宋体"/>
          <w:b w:val="0"/>
          <w:sz w:val="24"/>
        </w:rPr>
        <w:t>：borg 包自动遍历目录树、并行同化 VASP 计算为 ComputedEntry 列表（p316）；compatibility 模块实现 GGA/GGA+U 混合方案（Jain et al.）与气体过绑定修正，提供 MaterialsProjectCompatibility 与 MITCompatibility 两套参数（p316）；reaction_calculator 做反应配平与反应能（p316–317）；phasediagram 包支持标准组成相图与巨正则相图（0 K）（p317）。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Materials API 集成（p317）</w:t>
      </w:r>
      <w:r>
        <w:rPr>
          <w:rFonts w:ascii="Times New Roman" w:hAnsi="Times New Roman" w:eastAsia="宋体"/>
          <w:b w:val="0"/>
          <w:sz w:val="24"/>
        </w:rPr>
        <w:t>：RESTful 设计，JSON 交换；pymatgen 的 matproj 包可批量获取形成能、VASP 能量、Structure/ComputedEntry 对象（p317）。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应用示例：Li₄SnS₄ 相稳定性（p317–318）</w:t>
      </w:r>
      <w:r>
        <w:rPr>
          <w:rFonts w:ascii="Times New Roman" w:hAnsi="Times New Roman" w:eastAsia="宋体"/>
          <w:b w:val="0"/>
          <w:sz w:val="24"/>
        </w:rPr>
        <w:t>：Li₄SnS₄ 与 Li₄GeS₄ 同构，用 CrystalToolkit 做 Sn→Ge 替换 + 一次 VASP 计算，再经 matproj 拉取 MP 的 Li–Sn–S 各相数据，生成 Li–Sn–S 相图；结论：Li₄SnS₄ 是稳定相（可合成），但在 Li/S 化学势空间仅窄窗口稳定，作电池电解质会因阳极吸锂/阴极脱锂形成 SEI 而反应（R0 p317–318）。原本需 30+ 个结构计算的工作被压缩为单次计算 + 数据查询（p318）。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能量参照一致性</w:t>
      </w:r>
      <w:r>
        <w:rPr>
          <w:rFonts w:ascii="Times New Roman" w:hAnsi="Times New Roman" w:eastAsia="宋体"/>
          <w:b w:val="0"/>
          <w:sz w:val="24"/>
        </w:rPr>
        <w:t>：不同泛函（GGA/GGA+U）能量不可直接混用，需混合修正与气体修正，否则相图/凸包会出错（R0 p316）。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多来源数据同化</w:t>
      </w:r>
      <w:r>
        <w:rPr>
          <w:rFonts w:ascii="Times New Roman" w:hAnsi="Times New Roman" w:eastAsia="宋体"/>
          <w:b w:val="0"/>
          <w:sz w:val="24"/>
        </w:rPr>
        <w:t>：VASP/ABINIT/实验数据格式各异，需 ComputedEntry 这类"来源无关"容器（R0 p315–316）。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巨正则相图</w:t>
      </w:r>
      <w:r>
        <w:rPr>
          <w:rFonts w:ascii="Times New Roman" w:hAnsi="Times New Roman" w:eastAsia="宋体"/>
          <w:b w:val="0"/>
          <w:sz w:val="24"/>
        </w:rPr>
        <w:t>：化学势空间建模对电化学稳定性（对电极窗口）判断至关重要（R0 p317）。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 xml:space="preserve">毕设判稳流水线可完全基于 pymatgen：MLIP 弛豫得 Structure → 包装 ComputedEntry → </w:t>
      </w:r>
      <w:r>
        <w:rPr>
          <w:rFonts w:ascii="Consolas" w:hAnsi="Consolas" w:eastAsia="Consolas"/>
          <w:sz w:val="24"/>
          <w:shd w:fill="F0F0F0"/>
        </w:rPr>
        <w:t>phasediagram</w:t>
      </w:r>
      <w:r>
        <w:rPr>
          <w:rFonts w:ascii="Times New Roman" w:hAnsi="Times New Roman" w:eastAsia="宋体"/>
          <w:b w:val="0"/>
          <w:sz w:val="24"/>
        </w:rPr>
        <w:t xml:space="preserve"> 算 energy above hull/凸包 → 与 MP 数据对照（R0，p315–317）。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 xml:space="preserve">判稳前务必用 </w:t>
      </w:r>
      <w:r>
        <w:rPr>
          <w:rFonts w:ascii="Consolas" w:hAnsi="Consolas" w:eastAsia="Consolas"/>
          <w:sz w:val="24"/>
          <w:shd w:fill="F0F0F0"/>
        </w:rPr>
        <w:t>MaterialsProjectCompatibility</w:t>
      </w:r>
      <w:r>
        <w:rPr>
          <w:rFonts w:ascii="Times New Roman" w:hAnsi="Times New Roman" w:eastAsia="宋体"/>
          <w:b w:val="0"/>
          <w:sz w:val="24"/>
        </w:rPr>
        <w:t xml:space="preserve"> 统一能量参照，并理解 GGA+U 与气体修正的意义，避免把不一致能量喂进凸包（R0 p316）。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除"是否稳定"外，用</w:t>
      </w:r>
      <w:r>
        <w:rPr>
          <w:rFonts w:ascii="Times New Roman" w:hAnsi="Times New Roman" w:eastAsia="宋体"/>
          <w:b/>
          <w:sz w:val="24"/>
        </w:rPr>
        <w:t>巨正则相图 + 化学势窗口</w:t>
      </w:r>
      <w:r>
        <w:rPr>
          <w:rFonts w:ascii="Times New Roman" w:hAnsi="Times New Roman" w:eastAsia="宋体"/>
          <w:b w:val="0"/>
          <w:sz w:val="24"/>
        </w:rPr>
        <w:t>评估电化学稳定性，是 SSE 类课题（24/50）的必要补充分析（R0 p317–318）。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pymatgen 2013 年即把"相稳定性 + 电化学稳定性"作为核心示例，预示了 Ong 团队此后 M3GNet、MatGL、MatPES 等工作的判稳主线——课题 47 正是这条主线的最新延伸（R2）。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文中"单次计算 + 数据库对照"的判稳策略，在 MLIP 时代被放大为"M3GNet/DPA4 弛豫 + MP 凸包对照"，计算成本进一步下降，但"能量参照一致性"这一原则始终未变（R2）。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本文的 REST API 与 Horton 2025 所述 MP 平台一脉相承，说明课题 47 的"MP 对照"环节依赖的是这套稳定运行十余年的数据基础设施（R2）。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