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网页资源简读：高工锂电 · 固态电池量产与盈利（第十九届高工锂电产业峰会）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来源链接</w:t>
      </w:r>
      <w:r>
        <w:rPr>
          <w:rFonts w:ascii="Times New Roman" w:hAnsi="Times New Roman" w:eastAsia="宋体"/>
          <w:b w:val="0"/>
          <w:sz w:val="24"/>
        </w:rPr>
        <w:t>：https://finance.sina.com.cn/stock/relnews/cn/2026-06-28/doc-iniexpvy6446815.shtml（高工锂电供稿，新浪财经转载）｜ 检索词：高工锂电 固态电池量产 盈利 峰会 2026 ｜ 访问状态：可访问 ｜ 精读日期 2026-08-21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（约 380 字）：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该文是第十九届高工锂电产业峰会（2026-07-14~15，深圳）前的高工锂电产业观察。核心判断：2026 年固态电池产业化正从"参数竞赛"（能否 400/500 Wh/kg、何时装车）进入"交付竞赛"（能否稳定量产、批量交付、形成商业闭环）；固态电池"尚未进入普遍盈利周期，但已进入盈利验证周期"。文中盘点各厂进展：卫蓝半固态产能 5.6GWh、广州花都签约 20 亿元；清陶配套智己车型、呼和浩特 20GWh 基地、与上汽框架协议延至 2028；恩力动力安徽 2GWh 基地投产；国轩高科金石全固态 2GWh 产线推进、冲刺 1 元/Wh；亿纬锂能"龙泉三号/四号"全固态下线、成都基地规划 2026 年 12 月 100MWh。文章总结两条商业化路径：①规模化路径（半固态/准固态/固液混合，进汽车与储能）；②高价值场景路径（无人机/机器人/eVTOL/工程车辆/特种装备，为性能付溢价）。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与课题关联</w:t>
      </w:r>
      <w:r>
        <w:rPr>
          <w:rFonts w:ascii="Times New Roman" w:hAnsi="Times New Roman" w:eastAsia="宋体"/>
          <w:b w:val="0"/>
          <w:sz w:val="24"/>
        </w:rPr>
        <w:t>：直接支撑课题50 的产业化定位——"半固态/固液混合优先于全固态、先高价值场景再规模化"的产业共识，印证卤化物 SSE 液相合成"可放大兼容产线"的现实价值；"良率 80%→90%+、成本下降、商业闭环"的议题，正是课题50 液相法相较球磨法要解决的量产痛点。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网页资源简版（基于可访问原文，结论可回溯至网页正文）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